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Borders>
              <w:top w:val="none" w:color="FFFFFF" w:sz="0"/>
              <w:left w:val="none" w:color="FFFFFF" w:sz="0"/>
              <w:bottom w:val="none" w:color="FFFFFF" w:sz="0"/>
              <w:right w:val="none" w:color="FFFFFF" w:sz="0"/>
            </w:tcBorders>
            <w:shd w:fill="2C5F2D" w:val="clear"/>
            <w:tcMar>
              <w:top w:type="dxa" w:w="320"/>
              <w:left w:type="dxa" w:w="360"/>
              <w:bottom w:type="dxa" w:w="320"/>
              <w:right w:type="dxa" w:w="360"/>
            </w:tcMar>
          </w:tcPr>
          <w:p>
            <w:pPr>
              <w:spacing w:after="100"/>
            </w:pPr>
            <w:r>
              <w:rPr>
                <w:rFonts w:ascii="Arial" w:cs="Arial" w:eastAsia="Arial" w:hAnsi="Arial"/>
                <w:b/>
                <w:bCs/>
                <w:caps/>
                <w:color w:val="FFFFFF"/>
                <w:sz w:val="36"/>
                <w:szCs w:val="36"/>
              </w:rPr>
              <w:t>POSITION STATEMENT</w:t>
            </w:r>
          </w:p>
          <w:p>
            <w:pPr>
              <w:spacing w:after="100"/>
            </w:pPr>
            <w:r>
              <w:rPr>
                <w:rFonts w:ascii="Arial" w:cs="Arial" w:eastAsia="Arial" w:hAnsi="Arial"/>
                <w:i/>
                <w:iCs/>
                <w:color w:val="C4A35A"/>
                <w:sz w:val="26"/>
                <w:szCs w:val="26"/>
              </w:rPr>
              <w:t>The Legislative Gap: Animal Sexual Abuse, Coercive Control and the Failure of Current Law</w:t>
            </w:r>
          </w:p>
          <w:p>
            <w:r>
              <w:rPr>
                <w:rFonts w:ascii="Arial" w:cs="Arial" w:eastAsia="Arial" w:hAnsi="Arial"/>
                <w:color w:val="84B59F"/>
                <w:sz w:val="20"/>
                <w:szCs w:val="20"/>
              </w:rPr>
              <w:t>Prepared for parliamentary, policy and professional audiences  |  May 2026</w:t>
            </w:r>
          </w:p>
        </w:tc>
      </w:tr>
    </w:tbl>
    <w:p>
      <w:pPr>
        <w:spacing w:after="240"/>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single" w:color="C4A35A" w:sz="16"/>
              <w:bottom w:val="none" w:color="FFFFFF" w:sz="0"/>
              <w:right w:val="none" w:color="FFFFFF" w:sz="0"/>
            </w:tcBorders>
            <w:shd w:fill="F2F0EB" w:val="clear"/>
            <w:tcMar>
              <w:top w:type="dxa" w:w="160"/>
              <w:left w:type="dxa" w:w="280"/>
              <w:bottom w:type="dxa" w:w="160"/>
              <w:right w:type="dxa" w:w="160"/>
            </w:tcMar>
          </w:tcPr>
          <w:p>
            <w:pPr>
              <w:spacing w:after="80"/>
            </w:pPr>
            <w:r>
              <w:rPr>
                <w:rFonts w:ascii="Arial" w:cs="Arial" w:eastAsia="Arial" w:hAnsi="Arial"/>
                <w:i/>
                <w:iCs/>
                <w:color w:val="333333"/>
                <w:sz w:val="22"/>
                <w:szCs w:val="22"/>
              </w:rPr>
              <w:t>"In rural, farming and equestrian contexts, animal abuse is routinely recorded as criminal damage, rather than recognised for what it is, a form of violence and a tool of coercive control."</w:t>
            </w:r>
          </w:p>
          <w:p>
            <w:pPr>
              <w:spacing w:after="0"/>
            </w:pPr>
            <w:r>
              <w:rPr>
                <w:rFonts w:ascii="Arial" w:cs="Arial" w:eastAsia="Arial" w:hAnsi="Arial"/>
                <w:b/>
                <w:bCs/>
                <w:color w:val="2C5F2D"/>
                <w:sz w:val="20"/>
                <w:szCs w:val="20"/>
              </w:rPr>
              <w:t>, The Bridle Path Initiative CIC</w:t>
            </w:r>
          </w:p>
        </w:tc>
      </w:tr>
    </w:tbl>
    <w:p>
      <w:pPr>
        <w:spacing w:after="240"/>
      </w:pPr>
      <w:r/>
    </w:p>
    <w:p>
      <w:pPr>
        <w:pBdr>
          <w:bottom w:val="single" w:color="C4A35A" w:sz="4" w:space="1"/>
        </w:pBdr>
        <w:spacing w:after="120" w:before="320"/>
      </w:pPr>
      <w:r>
        <w:rPr>
          <w:rFonts w:ascii="Arial" w:cs="Arial" w:eastAsia="Arial" w:hAnsi="Arial"/>
          <w:b/>
          <w:bCs/>
          <w:color w:val="2C5F2D"/>
          <w:sz w:val="28"/>
          <w:szCs w:val="28"/>
        </w:rPr>
        <w:t>Executive Summary</w:t>
      </w:r>
    </w:p>
    <w:p>
      <w:pPr>
        <w:spacing w:after="120"/>
        <w:jc w:val="both"/>
      </w:pPr>
      <w:r>
        <w:rPr>
          <w:rFonts w:ascii="Arial" w:cs="Arial" w:eastAsia="Arial" w:hAnsi="Arial"/>
          <w:sz w:val="22"/>
          <w:szCs w:val="22"/>
        </w:rPr>
        <w:t>In the UK, sexually motivated violence against animals is routinely subject to inappropriate charging, treated as property damage rather than recognised for what it is: a serious offence with direct links to sexual violence, coercive control and domestic abuse. This misclassification fails to recognise not only the harm to the animal, but the profound psychological and emotional harm experienced by victim-survivors. Current legislation is fragmented, inadequate and disconnected from the national response to Violence Against Women and Girls. This gap sits at the heart of what The Bridle Path Initiative was established to address.</w:t>
      </w:r>
    </w:p>
    <w:p>
      <w:pPr>
        <w:spacing w:after="160"/>
      </w:pPr>
      <w:r/>
    </w:p>
    <w:p>
      <w:pPr>
        <w:pBdr>
          <w:bottom w:val="single" w:color="C4A35A" w:sz="4" w:space="1"/>
        </w:pBdr>
        <w:spacing w:after="120" w:before="320"/>
      </w:pPr>
      <w:r>
        <w:rPr>
          <w:rFonts w:ascii="Arial" w:cs="Arial" w:eastAsia="Arial" w:hAnsi="Arial"/>
          <w:b/>
          <w:bCs/>
          <w:color w:val="2C5F2D"/>
          <w:sz w:val="28"/>
          <w:szCs w:val="28"/>
        </w:rPr>
        <w:t>1. The Problem: A Law That Fails Animals and Survivors</w:t>
      </w:r>
    </w:p>
    <w:p>
      <w:pPr>
        <w:spacing w:after="120"/>
        <w:jc w:val="both"/>
      </w:pPr>
      <w:r>
        <w:rPr>
          <w:rFonts w:ascii="Arial" w:cs="Arial" w:eastAsia="Arial" w:hAnsi="Arial"/>
          <w:sz w:val="22"/>
          <w:szCs w:val="22"/>
        </w:rPr>
        <w:t>When a perpetrator harms an animal in a sexually motivated or coercively controlling context, the criminal justice system in England and Wales routinely fails to record, prosecute or sentence that behaviour in a way that reflects its true nature.</w:t>
      </w:r>
    </w:p>
    <w:p>
      <w:pPr>
        <w:spacing w:after="120"/>
        <w:jc w:val="both"/>
      </w:pPr>
      <w:r>
        <w:rPr>
          <w:rFonts w:ascii="Arial" w:cs="Arial" w:eastAsia="Arial" w:hAnsi="Arial"/>
          <w:sz w:val="22"/>
          <w:szCs w:val="22"/>
        </w:rPr>
        <w:t>Animal harm in domestic abuse and sexual violence contexts is frequently charged under property-based legislation, a classification that treats a living, sentient being as equivalent to a broken window. This misclassification fails to recognise not only the harm to the animal itself, but the devastating psychological and emotional consequences for the victim-survivor who witnesses or discovers the harm. This gap sits directly within the wider national response to Violence Against Women and Girls, yet remains largely unrecognised within current policy frameworks.</w:t>
      </w:r>
    </w:p>
    <w:p>
      <w:pPr>
        <w:spacing w:after="80"/>
      </w:pPr>
      <w:r/>
    </w:p>
    <w:p>
      <w:pPr>
        <w:spacing w:after="120"/>
        <w:jc w:val="both"/>
      </w:pPr>
      <w:r>
        <w:rPr>
          <w:rFonts w:ascii="Arial" w:cs="Arial" w:eastAsia="Arial" w:hAnsi="Arial"/>
          <w:b/>
          <w:bCs/>
          <w:sz w:val="22"/>
          <w:szCs w:val="22"/>
        </w:rPr>
        <w:t>The consequences of this inappropriate charging are serious and far-reaching:</w:t>
      </w:r>
    </w:p>
    <w:p>
      <w:pPr>
        <w:pStyle w:val="ListParagraph"/>
        <w:numPr>
          <w:ilvl w:val="0"/>
          <w:numId w:val="2"/>
        </w:numPr>
        <w:spacing w:after="80"/>
      </w:pPr>
      <w:r>
        <w:rPr>
          <w:rFonts w:ascii="Arial" w:cs="Arial" w:eastAsia="Arial" w:hAnsi="Arial"/>
          <w:sz w:val="22"/>
          <w:szCs w:val="22"/>
        </w:rPr>
        <w:t>Animal harm does not appear in perpetrator risk assessments or MARAC processes</w:t>
      </w:r>
    </w:p>
    <w:p>
      <w:pPr>
        <w:pStyle w:val="ListParagraph"/>
        <w:numPr>
          <w:ilvl w:val="0"/>
          <w:numId w:val="2"/>
        </w:numPr>
        <w:spacing w:after="80"/>
      </w:pPr>
      <w:r>
        <w:rPr>
          <w:rFonts w:ascii="Arial" w:cs="Arial" w:eastAsia="Arial" w:hAnsi="Arial"/>
          <w:sz w:val="22"/>
          <w:szCs w:val="22"/>
        </w:rPr>
        <w:t>It is not recorded as part of a pattern of coercive and controlling behaviour</w:t>
      </w:r>
    </w:p>
    <w:p>
      <w:pPr>
        <w:pStyle w:val="ListParagraph"/>
        <w:numPr>
          <w:ilvl w:val="0"/>
          <w:numId w:val="2"/>
        </w:numPr>
        <w:spacing w:after="80"/>
      </w:pPr>
      <w:r>
        <w:rPr>
          <w:rFonts w:ascii="Arial" w:cs="Arial" w:eastAsia="Arial" w:hAnsi="Arial"/>
          <w:sz w:val="22"/>
          <w:szCs w:val="22"/>
        </w:rPr>
        <w:t>It does not trigger domestic abuse or sexual violence referral pathways</w:t>
      </w:r>
    </w:p>
    <w:p>
      <w:pPr>
        <w:pStyle w:val="ListParagraph"/>
        <w:numPr>
          <w:ilvl w:val="0"/>
          <w:numId w:val="2"/>
        </w:numPr>
        <w:spacing w:after="80"/>
      </w:pPr>
      <w:r>
        <w:rPr>
          <w:rFonts w:ascii="Arial" w:cs="Arial" w:eastAsia="Arial" w:hAnsi="Arial"/>
          <w:sz w:val="22"/>
          <w:szCs w:val="22"/>
        </w:rPr>
        <w:t>Courts are unable to impose sentences that reflect the true gravity of the offending</w:t>
      </w:r>
    </w:p>
    <w:p>
      <w:pPr>
        <w:pStyle w:val="ListParagraph"/>
        <w:numPr>
          <w:ilvl w:val="0"/>
          <w:numId w:val="2"/>
        </w:numPr>
        <w:spacing w:after="80"/>
      </w:pPr>
      <w:r>
        <w:rPr>
          <w:rFonts w:ascii="Arial" w:cs="Arial" w:eastAsia="Arial" w:hAnsi="Arial"/>
          <w:sz w:val="22"/>
          <w:szCs w:val="22"/>
        </w:rPr>
        <w:t>The harm experienced by both the animal and the human victim-survivor is rendered invisible within the justice system</w:t>
      </w:r>
    </w:p>
    <w:p>
      <w:pPr>
        <w:spacing w:after="160"/>
      </w:pPr>
      <w:r/>
    </w:p>
    <w:p>
      <w:pPr>
        <w:spacing w:after="120"/>
        <w:jc w:val="both"/>
      </w:pPr>
      <w:r>
        <w:rPr>
          <w:rFonts w:ascii="Arial" w:cs="Arial" w:eastAsia="Arial" w:hAnsi="Arial"/>
          <w:sz w:val="22"/>
          <w:szCs w:val="22"/>
        </w:rPr>
        <w:t>This is not a theoretical concern. In the case of Reece Reed, prosecuted at Northampton Crown Court in November 2019, a perpetrator who broke onto a Wellingborough farm and stabbed a prize-winning miniature show horse twenty times with a kitchen knife, and was found naked from the waist down on the premises, faced property-based charges rather than any offence that reflected the sexually motivated nature of the attack. The sentencing judge, His Honour Judge Michael Fowler, was explicit:</w:t>
      </w:r>
    </w:p>
    <w:p>
      <w:pPr>
        <w:spacing w:after="120"/>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single" w:color="C4A35A" w:sz="16"/>
              <w:bottom w:val="none" w:color="FFFFFF" w:sz="0"/>
              <w:right w:val="none" w:color="FFFFFF" w:sz="0"/>
            </w:tcBorders>
            <w:shd w:fill="F2F0EB" w:val="clear"/>
            <w:tcMar>
              <w:top w:type="dxa" w:w="160"/>
              <w:left w:type="dxa" w:w="280"/>
              <w:bottom w:type="dxa" w:w="160"/>
              <w:right w:type="dxa" w:w="160"/>
            </w:tcMar>
          </w:tcPr>
          <w:p>
            <w:pPr>
              <w:spacing w:after="80"/>
            </w:pPr>
            <w:r>
              <w:rPr>
                <w:rFonts w:ascii="Arial" w:cs="Arial" w:eastAsia="Arial" w:hAnsi="Arial"/>
                <w:i/>
                <w:iCs/>
                <w:color w:val="333333"/>
                <w:sz w:val="22"/>
                <w:szCs w:val="22"/>
              </w:rPr>
              <w:t>"The charges that you face today do not reflect the wickedness of your behaviour. This has been treated as if it were criminal damage against two inanimate objects. It isn't. And it is in my view an error that ought to be corrected."</w:t>
            </w:r>
          </w:p>
          <w:p>
            <w:pPr>
              <w:spacing w:after="0"/>
            </w:pPr>
            <w:r>
              <w:rPr>
                <w:rFonts w:ascii="Arial" w:cs="Arial" w:eastAsia="Arial" w:hAnsi="Arial"/>
                <w:b/>
                <w:bCs/>
                <w:color w:val="2C5F2D"/>
                <w:sz w:val="20"/>
                <w:szCs w:val="20"/>
              </w:rPr>
              <w:t>, His Honour Judge Michael Fowler, Northampton Crown Court, November 2019</w:t>
            </w:r>
          </w:p>
        </w:tc>
      </w:tr>
    </w:tbl>
    <w:p>
      <w:pPr>
        <w:spacing w:after="160"/>
      </w:pPr>
      <w:r/>
    </w:p>
    <w:p>
      <w:pPr>
        <w:spacing w:after="120"/>
        <w:jc w:val="both"/>
      </w:pPr>
      <w:r>
        <w:rPr>
          <w:rFonts w:ascii="Arial" w:cs="Arial" w:eastAsia="Arial" w:hAnsi="Arial"/>
          <w:sz w:val="22"/>
          <w:szCs w:val="22"/>
        </w:rPr>
        <w:t>The judiciary has recognised it. The data confirms it. Victim-survivors live with the consequences.</w:t>
      </w:r>
    </w:p>
    <w:p>
      <w:pPr>
        <w:spacing w:after="160"/>
      </w:pPr>
      <w:r/>
    </w:p>
    <w:p>
      <w:pPr>
        <w:pBdr>
          <w:bottom w:val="single" w:color="C4A35A" w:sz="4" w:space="1"/>
        </w:pBdr>
        <w:spacing w:after="120" w:before="320"/>
      </w:pPr>
      <w:r>
        <w:rPr>
          <w:rFonts w:ascii="Arial" w:cs="Arial" w:eastAsia="Arial" w:hAnsi="Arial"/>
          <w:b/>
          <w:bCs/>
          <w:color w:val="2C5F2D"/>
          <w:sz w:val="28"/>
          <w:szCs w:val="28"/>
        </w:rPr>
        <w:t>2. The Evidence: Scale and Invisibility</w:t>
      </w:r>
    </w:p>
    <w:p>
      <w:pPr>
        <w:spacing w:after="120"/>
        <w:jc w:val="both"/>
      </w:pPr>
      <w:r>
        <w:rPr>
          <w:rFonts w:ascii="Arial" w:cs="Arial" w:eastAsia="Arial" w:hAnsi="Arial"/>
          <w:sz w:val="22"/>
          <w:szCs w:val="22"/>
        </w:rPr>
        <w:t>Official data confirms both the scale of animal sexual abuse in the UK and the profound failure to prosecute it effectively. The following statistics are drawn from Home Office data and parliamentary questions.</w:t>
      </w:r>
    </w:p>
    <w:p>
      <w:pPr>
        <w:spacing w:after="120"/>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40"/>
        <w:gridCol w:w="7586"/>
      </w:tblGrid>
      <w:tr>
        <w:tc>
          <w:tcPr>
            <w:tcBorders>
              <w:top w:val="none" w:color="FFFFFF" w:sz="0"/>
              <w:left w:val="none" w:color="FFFFFF" w:sz="0"/>
              <w:bottom w:val="none" w:color="FFFFFF" w:sz="0"/>
              <w:right w:val="none" w:color="FFFFFF" w:sz="0"/>
            </w:tcBorders>
            <w:shd w:fill="2C5F2D" w:val="clear"/>
            <w:tcMar>
              <w:top w:type="dxa" w:w="120"/>
              <w:left w:type="dxa" w:w="160"/>
              <w:bottom w:type="dxa" w:w="120"/>
              <w:right w:type="dxa" w:w="160"/>
            </w:tcMar>
            <w:vAlign w:val="center"/>
          </w:tcPr>
          <w:p>
            <w:pPr>
              <w:jc w:val="center"/>
            </w:pPr>
            <w:r>
              <w:rPr>
                <w:rFonts w:ascii="Arial" w:cs="Arial" w:eastAsia="Arial" w:hAnsi="Arial"/>
                <w:b/>
                <w:bCs/>
                <w:color w:val="C4A35A"/>
                <w:sz w:val="36"/>
                <w:szCs w:val="36"/>
              </w:rPr>
              <w:t>40–57</w:t>
            </w:r>
          </w:p>
        </w:tc>
        <w:tc>
          <w:tcPr>
            <w:tcBorders>
              <w:top w:val="none" w:color="FFFFFF" w:sz="0"/>
              <w:left w:val="none" w:color="FFFFFF" w:sz="0"/>
              <w:bottom w:val="none" w:color="FFFFFF" w:sz="0"/>
              <w:right w:val="none" w:color="FFFFFF" w:sz="0"/>
            </w:tcBorders>
            <w:shd w:fill="F2F0EB" w:val="clear"/>
            <w:tcMar>
              <w:top w:type="dxa" w:w="120"/>
              <w:left w:type="dxa" w:w="200"/>
              <w:bottom w:type="dxa" w:w="120"/>
              <w:right w:type="dxa" w:w="160"/>
            </w:tcMar>
          </w:tcPr>
          <w:p>
            <w:r>
              <w:rPr>
                <w:rFonts w:ascii="Arial" w:cs="Arial" w:eastAsia="Arial" w:hAnsi="Arial"/>
                <w:color w:val="333333"/>
                <w:sz w:val="21"/>
                <w:szCs w:val="21"/>
              </w:rPr>
              <w:t>Offences of intercourse with an animal recorded by police in England and Wales every year since 2020. (Home Office, Parliamentary Question HL11971, November 2025)</w:t>
            </w:r>
          </w:p>
        </w:tc>
      </w:tr>
    </w:tbl>
    <w:p>
      <w:pPr>
        <w:spacing w:after="60"/>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40"/>
        <w:gridCol w:w="7586"/>
      </w:tblGrid>
      <w:tr>
        <w:tc>
          <w:tcPr>
            <w:tcBorders>
              <w:top w:val="none" w:color="FFFFFF" w:sz="0"/>
              <w:left w:val="none" w:color="FFFFFF" w:sz="0"/>
              <w:bottom w:val="none" w:color="FFFFFF" w:sz="0"/>
              <w:right w:val="none" w:color="FFFFFF" w:sz="0"/>
            </w:tcBorders>
            <w:shd w:fill="2C5F2D" w:val="clear"/>
            <w:tcMar>
              <w:top w:type="dxa" w:w="120"/>
              <w:left w:type="dxa" w:w="160"/>
              <w:bottom w:type="dxa" w:w="120"/>
              <w:right w:type="dxa" w:w="160"/>
            </w:tcMar>
            <w:vAlign w:val="center"/>
          </w:tcPr>
          <w:p>
            <w:pPr>
              <w:jc w:val="center"/>
            </w:pPr>
            <w:r>
              <w:rPr>
                <w:rFonts w:ascii="Arial" w:cs="Arial" w:eastAsia="Arial" w:hAnsi="Arial"/>
                <w:b/>
                <w:bCs/>
                <w:color w:val="C4A35A"/>
                <w:sz w:val="36"/>
                <w:szCs w:val="36"/>
              </w:rPr>
              <w:t>2–20%</w:t>
            </w:r>
          </w:p>
        </w:tc>
        <w:tc>
          <w:tcPr>
            <w:tcBorders>
              <w:top w:val="none" w:color="FFFFFF" w:sz="0"/>
              <w:left w:val="none" w:color="FFFFFF" w:sz="0"/>
              <w:bottom w:val="none" w:color="FFFFFF" w:sz="0"/>
              <w:right w:val="none" w:color="FFFFFF" w:sz="0"/>
            </w:tcBorders>
            <w:shd w:fill="F2F0EB" w:val="clear"/>
            <w:tcMar>
              <w:top w:type="dxa" w:w="120"/>
              <w:left w:type="dxa" w:w="200"/>
              <w:bottom w:type="dxa" w:w="120"/>
              <w:right w:type="dxa" w:w="160"/>
            </w:tcMar>
          </w:tcPr>
          <w:p>
            <w:r>
              <w:rPr>
                <w:rFonts w:ascii="Arial" w:cs="Arial" w:eastAsia="Arial" w:hAnsi="Arial"/>
                <w:color w:val="333333"/>
                <w:sz w:val="21"/>
                <w:szCs w:val="21"/>
              </w:rPr>
              <w:t>The proportion of recorded cases resulting in a charge or summons, meaning in some years, as few as 2 in every 100 recorded cases led to any criminal charge.</w:t>
            </w:r>
          </w:p>
        </w:tc>
      </w:tr>
    </w:tbl>
    <w:p>
      <w:pPr>
        <w:spacing w:after="60"/>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40"/>
        <w:gridCol w:w="7586"/>
      </w:tblGrid>
      <w:tr>
        <w:tc>
          <w:tcPr>
            <w:tcBorders>
              <w:top w:val="none" w:color="FFFFFF" w:sz="0"/>
              <w:left w:val="none" w:color="FFFFFF" w:sz="0"/>
              <w:bottom w:val="none" w:color="FFFFFF" w:sz="0"/>
              <w:right w:val="none" w:color="FFFFFF" w:sz="0"/>
            </w:tcBorders>
            <w:shd w:fill="2C5F2D" w:val="clear"/>
            <w:tcMar>
              <w:top w:type="dxa" w:w="120"/>
              <w:left w:type="dxa" w:w="160"/>
              <w:bottom w:type="dxa" w:w="120"/>
              <w:right w:type="dxa" w:w="160"/>
            </w:tcMar>
            <w:vAlign w:val="center"/>
          </w:tcPr>
          <w:p>
            <w:pPr>
              <w:jc w:val="center"/>
            </w:pPr>
            <w:r>
              <w:rPr>
                <w:rFonts w:ascii="Arial" w:cs="Arial" w:eastAsia="Arial" w:hAnsi="Arial"/>
                <w:b/>
                <w:bCs/>
                <w:color w:val="C4A35A"/>
                <w:sz w:val="36"/>
                <w:szCs w:val="36"/>
              </w:rPr>
              <w:t>0</w:t>
            </w:r>
          </w:p>
        </w:tc>
        <w:tc>
          <w:tcPr>
            <w:tcBorders>
              <w:top w:val="none" w:color="FFFFFF" w:sz="0"/>
              <w:left w:val="none" w:color="FFFFFF" w:sz="0"/>
              <w:bottom w:val="none" w:color="FFFFFF" w:sz="0"/>
              <w:right w:val="none" w:color="FFFFFF" w:sz="0"/>
            </w:tcBorders>
            <w:shd w:fill="F2F0EB" w:val="clear"/>
            <w:tcMar>
              <w:top w:type="dxa" w:w="120"/>
              <w:left w:type="dxa" w:w="200"/>
              <w:bottom w:type="dxa" w:w="120"/>
              <w:right w:type="dxa" w:w="160"/>
            </w:tcMar>
          </w:tcPr>
          <w:p>
            <w:r>
              <w:rPr>
                <w:rFonts w:ascii="Arial" w:cs="Arial" w:eastAsia="Arial" w:hAnsi="Arial"/>
                <w:color w:val="333333"/>
                <w:sz w:val="21"/>
                <w:szCs w:val="21"/>
              </w:rPr>
              <w:t>Cases of non-penetrative or coercive activity against animals recorded by the Home Office. This entire category of offending is completely invisible in official data.</w:t>
            </w:r>
          </w:p>
        </w:tc>
      </w:tr>
    </w:tbl>
    <w:p>
      <w:pPr>
        <w:spacing w:after="60"/>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40"/>
        <w:gridCol w:w="7586"/>
      </w:tblGrid>
      <w:tr>
        <w:tc>
          <w:tcPr>
            <w:tcBorders>
              <w:top w:val="none" w:color="FFFFFF" w:sz="0"/>
              <w:left w:val="none" w:color="FFFFFF" w:sz="0"/>
              <w:bottom w:val="none" w:color="FFFFFF" w:sz="0"/>
              <w:right w:val="none" w:color="FFFFFF" w:sz="0"/>
            </w:tcBorders>
            <w:shd w:fill="2C5F2D" w:val="clear"/>
            <w:tcMar>
              <w:top w:type="dxa" w:w="120"/>
              <w:left w:type="dxa" w:w="160"/>
              <w:bottom w:type="dxa" w:w="120"/>
              <w:right w:type="dxa" w:w="160"/>
            </w:tcMar>
            <w:vAlign w:val="center"/>
          </w:tcPr>
          <w:p>
            <w:pPr>
              <w:jc w:val="center"/>
            </w:pPr>
            <w:r>
              <w:rPr>
                <w:rFonts w:ascii="Arial" w:cs="Arial" w:eastAsia="Arial" w:hAnsi="Arial"/>
                <w:b/>
                <w:bCs/>
                <w:color w:val="C4A35A"/>
                <w:sz w:val="36"/>
                <w:szCs w:val="36"/>
              </w:rPr>
              <w:t>350+</w:t>
            </w:r>
          </w:p>
        </w:tc>
        <w:tc>
          <w:tcPr>
            <w:tcBorders>
              <w:top w:val="none" w:color="FFFFFF" w:sz="0"/>
              <w:left w:val="none" w:color="FFFFFF" w:sz="0"/>
              <w:bottom w:val="none" w:color="FFFFFF" w:sz="0"/>
              <w:right w:val="none" w:color="FFFFFF" w:sz="0"/>
            </w:tcBorders>
            <w:shd w:fill="F2F0EB" w:val="clear"/>
            <w:tcMar>
              <w:top w:type="dxa" w:w="120"/>
              <w:left w:type="dxa" w:w="200"/>
              <w:bottom w:type="dxa" w:w="120"/>
              <w:right w:type="dxa" w:w="160"/>
            </w:tcMar>
          </w:tcPr>
          <w:p>
            <w:r>
              <w:rPr>
                <w:rFonts w:ascii="Arial" w:cs="Arial" w:eastAsia="Arial" w:hAnsi="Arial"/>
                <w:color w:val="333333"/>
                <w:sz w:val="21"/>
                <w:szCs w:val="21"/>
              </w:rPr>
              <w:t>Safeguarding allegations investigated by the British Horseracing Authority since 2018, with 26% relating to sexual misconduct. This illustrates the culture of silence that pervades equestrian settings and compounds the failure of the law.</w:t>
            </w:r>
          </w:p>
        </w:tc>
      </w:tr>
    </w:tbl>
    <w:p>
      <w:pPr>
        <w:spacing w:after="160"/>
      </w:pPr>
      <w:r/>
    </w:p>
    <w:p>
      <w:pPr>
        <w:spacing w:after="120"/>
        <w:jc w:val="both"/>
      </w:pPr>
      <w:r>
        <w:rPr>
          <w:rFonts w:ascii="Arial" w:cs="Arial" w:eastAsia="Arial" w:hAnsi="Arial"/>
          <w:sz w:val="22"/>
          <w:szCs w:val="22"/>
        </w:rPr>
        <w:t>These figures represent only cases that are reported and recorded. Given the significant barriers to disclosure in rural and equestrian communities, isolation, financial dependence, community visibility and deep-rooted cultural silence, the true scale of this problem is almost certainly substantially higher.</w:t>
      </w:r>
    </w:p>
    <w:p>
      <w:pPr>
        <w:spacing w:after="160"/>
      </w:pPr>
      <w:r/>
    </w:p>
    <w:p>
      <w:pPr>
        <w:pBdr>
          <w:bottom w:val="single" w:color="C4A35A" w:sz="4" w:space="1"/>
        </w:pBdr>
        <w:spacing w:after="120" w:before="320"/>
      </w:pPr>
      <w:r>
        <w:rPr>
          <w:rFonts w:ascii="Arial" w:cs="Arial" w:eastAsia="Arial" w:hAnsi="Arial"/>
          <w:b/>
          <w:bCs/>
          <w:color w:val="2C5F2D"/>
          <w:sz w:val="28"/>
          <w:szCs w:val="28"/>
        </w:rPr>
        <w:t>3. The Legislative Gap</w:t>
      </w:r>
    </w:p>
    <w:p>
      <w:pPr>
        <w:spacing w:after="120"/>
        <w:jc w:val="both"/>
      </w:pPr>
      <w:r>
        <w:rPr>
          <w:rFonts w:ascii="Arial" w:cs="Arial" w:eastAsia="Arial" w:hAnsi="Arial"/>
          <w:sz w:val="22"/>
          <w:szCs w:val="22"/>
        </w:rPr>
        <w:t>Current UK legislation governing animal sexual abuse is fragmented across multiple Acts, none of which adequately addresses the full range of sexually motivated violence against animals or its connection to domestic abuse and coercive control.</w:t>
      </w:r>
    </w:p>
    <w:p>
      <w:pPr>
        <w:spacing w:after="80"/>
      </w:pPr>
      <w:r/>
    </w:p>
    <w:p>
      <w:pPr>
        <w:spacing w:after="100" w:before="240"/>
      </w:pPr>
      <w:r>
        <w:rPr>
          <w:rFonts w:ascii="Arial" w:cs="Arial" w:eastAsia="Arial" w:hAnsi="Arial"/>
          <w:b/>
          <w:bCs/>
          <w:color w:val="2C5F2D"/>
          <w:sz w:val="24"/>
          <w:szCs w:val="24"/>
        </w:rPr>
        <w:t>Section 69, Sexual Offences Act 2003</w:t>
      </w:r>
    </w:p>
    <w:p>
      <w:pPr>
        <w:spacing w:after="120"/>
        <w:jc w:val="both"/>
      </w:pPr>
      <w:r>
        <w:rPr>
          <w:rFonts w:ascii="Arial" w:cs="Arial" w:eastAsia="Arial" w:hAnsi="Arial"/>
          <w:sz w:val="22"/>
          <w:szCs w:val="22"/>
        </w:rPr>
        <w:t>Criminalises penetrative intercourse with an animal but does not cover non-penetrative sexual acts, coercive or grooming behaviours involving animals, or the use of animals in sexually motivated violence as a tool of control over a human victim.</w:t>
      </w:r>
    </w:p>
    <w:p>
      <w:pPr>
        <w:spacing w:after="100" w:before="240"/>
      </w:pPr>
      <w:r>
        <w:rPr>
          <w:rFonts w:ascii="Arial" w:cs="Arial" w:eastAsia="Arial" w:hAnsi="Arial"/>
          <w:b/>
          <w:bCs/>
          <w:color w:val="2C5F2D"/>
          <w:sz w:val="24"/>
          <w:szCs w:val="24"/>
        </w:rPr>
        <w:t>Section 63, Criminal Justice and Immigration Act 2008</w:t>
      </w:r>
    </w:p>
    <w:p>
      <w:pPr>
        <w:spacing w:after="120"/>
        <w:jc w:val="both"/>
      </w:pPr>
      <w:r>
        <w:rPr>
          <w:rFonts w:ascii="Arial" w:cs="Arial" w:eastAsia="Arial" w:hAnsi="Arial"/>
          <w:sz w:val="22"/>
          <w:szCs w:val="22"/>
        </w:rPr>
        <w:t>Covers extreme pornographic images involving animals but does not address the physical sexual abuse of animals or its role in patterns of coercive control and domestic violence.</w:t>
      </w:r>
    </w:p>
    <w:p>
      <w:pPr>
        <w:spacing w:after="100" w:before="240"/>
      </w:pPr>
      <w:r>
        <w:rPr>
          <w:rFonts w:ascii="Arial" w:cs="Arial" w:eastAsia="Arial" w:hAnsi="Arial"/>
          <w:b/>
          <w:bCs/>
          <w:color w:val="2C5F2D"/>
          <w:sz w:val="24"/>
          <w:szCs w:val="24"/>
        </w:rPr>
        <w:t>Animal Welfare Act 2006</w:t>
      </w:r>
    </w:p>
    <w:p>
      <w:pPr>
        <w:spacing w:after="120"/>
        <w:jc w:val="both"/>
      </w:pPr>
      <w:r>
        <w:rPr>
          <w:rFonts w:ascii="Arial" w:cs="Arial" w:eastAsia="Arial" w:hAnsi="Arial"/>
          <w:sz w:val="22"/>
          <w:szCs w:val="22"/>
        </w:rPr>
        <w:t>Covers unnecessary suffering and neglect but was not designed to address sexually motivated violence, and its application in domestic abuse and coercive control contexts is inconsistent and inadequate.</w:t>
      </w:r>
    </w:p>
    <w:p>
      <w:pPr>
        <w:spacing w:after="100" w:before="240"/>
      </w:pPr>
      <w:r>
        <w:rPr>
          <w:rFonts w:ascii="Arial" w:cs="Arial" w:eastAsia="Arial" w:hAnsi="Arial"/>
          <w:b/>
          <w:bCs/>
          <w:color w:val="2C5F2D"/>
          <w:sz w:val="24"/>
          <w:szCs w:val="24"/>
        </w:rPr>
        <w:t>The Result</w:t>
      </w:r>
    </w:p>
    <w:p>
      <w:pPr>
        <w:spacing w:after="120"/>
        <w:jc w:val="both"/>
      </w:pPr>
      <w:r>
        <w:rPr>
          <w:rFonts w:ascii="Arial" w:cs="Arial" w:eastAsia="Arial" w:hAnsi="Arial"/>
          <w:sz w:val="22"/>
          <w:szCs w:val="22"/>
        </w:rPr>
        <w:t>Prosecutors frequently resort to property-based charges because they are easier to prove, with devastating consequences for survivors, animals and the integrity of the justice system. The judiciary has recognised this failure from the bench. The data confirms it. Victim-survivors live with the consequences.</w:t>
      </w:r>
    </w:p>
    <w:p>
      <w:pPr>
        <w:spacing w:after="80"/>
      </w:pPr>
      <w:r/>
    </w:p>
    <w:p>
      <w:pPr>
        <w:spacing w:after="100" w:before="240"/>
      </w:pPr>
      <w:r>
        <w:rPr>
          <w:rFonts w:ascii="Arial" w:cs="Arial" w:eastAsia="Arial" w:hAnsi="Arial"/>
          <w:b/>
          <w:bCs/>
          <w:color w:val="2C5F2D"/>
          <w:sz w:val="24"/>
          <w:szCs w:val="24"/>
        </w:rPr>
        <w:t>A Recent and Welcome Development</w:t>
      </w:r>
    </w:p>
    <w:p>
      <w:pPr>
        <w:spacing w:after="120"/>
        <w:jc w:val="both"/>
      </w:pPr>
      <w:r>
        <w:rPr>
          <w:rFonts w:ascii="Arial" w:cs="Arial" w:eastAsia="Arial" w:hAnsi="Arial"/>
          <w:sz w:val="22"/>
          <w:szCs w:val="22"/>
        </w:rPr>
        <w:t>In April 2026, the Crime and Policing Act received Royal Assent, replacing the previous Section 69 offence with a significantly broader offence of sexual activity with an animal. The amendment extends the law beyond penetrative intercourse to cover any intentional sexual touching of an animal, whether living or dead, where a reasonable person would consider the touching to be sexual. This is a significant and welcome development, and one that The Bridle Path Initiative recognises as an important step forward.</w:t>
      </w:r>
    </w:p>
    <w:p>
      <w:pPr>
        <w:spacing w:after="120"/>
        <w:jc w:val="both"/>
      </w:pPr>
      <w:r>
        <w:rPr>
          <w:rFonts w:ascii="Arial" w:cs="Arial" w:eastAsia="Arial" w:hAnsi="Arial"/>
          <w:sz w:val="22"/>
          <w:szCs w:val="22"/>
        </w:rPr>
        <w:t>However, the legislative gap identified in this statement extends well beyond the definition of the sexual offence itself. The fundamental problems of how animal harm in domestic abuse contexts is recorded, prosecuted and responded to across the criminal justice and safeguarding systems remain entirely unaddressed. Animal harm is still routinely recorded as criminal damage rather than as part of a pattern of coercive and controlling behaviour. It still does not appear in MARAC processes or perpetrator risk assessments. Rural and equestrian professionals still have no referral pathways or specialist training. The Crime and Policing Act amendment closes one gap. The Bridle Path Initiative exists to address the many that remain.</w:t>
      </w:r>
    </w:p>
    <w:p>
      <w:pPr>
        <w:spacing w:after="160"/>
      </w:pPr>
      <w:r/>
    </w:p>
    <w:p>
      <w:pPr>
        <w:pBdr>
          <w:bottom w:val="single" w:sz="6" w:space="1" w:color="C4A35A"/>
        </w:pBdr>
        <w:spacing w:after="160"/>
      </w:pPr>
    </w:p>
    <w:p>
      <w:r>
        <w:rPr>
          <w:b/>
          <w:sz w:val="28"/>
          <w:color w:val="2C5F2D"/>
          <w:rFonts w:ascii="Arial" w:hAnsi="Arial"/>
        </w:rPr>
        <w:t>4. Why Rural, Farming and Equestrian Communities Are Different — The Human Story</w:t>
      </w:r>
    </w:p>
    <w:p>
      <w:pPr>
        <w:jc w:val="both"/>
        <w:spacing w:after="100"/>
      </w:pPr>
      <w:r>
        <w:rPr>
          <w:sz w:val="22"/>
          <w:rFonts w:ascii="Arial" w:hAnsi="Arial"/>
        </w:rPr>
        <w:t xml:space="preserve">The legislative gap described in this statement does not exist in isolation. It sits within a broader failure to recognise that domestic abuse in rural, farming and equestrian communities looks fundamentally different from domestic abuse in urban settings, and that the services built to respond to it were never designed with these communities in mind.</w:t>
      </w:r>
    </w:p>
    <w:p>
      <w:pPr>
        <w:jc w:val="both"/>
        <w:spacing w:after="100"/>
      </w:pPr>
      <w:r>
        <w:rPr>
          <w:sz w:val="22"/>
          <w:rFonts w:ascii="Arial" w:hAnsi="Arial"/>
        </w:rPr>
        <w:t xml:space="preserve">Understanding why The Bridle Path Initiative needs to exist requires understanding what domestic abuse actually looks like when you live on a farm, keep horses, work on a yard or call a rural community home.</w:t>
      </w:r>
    </w:p>
    <w:p>
      <w:pPr>
        <w:spacing w:after="120"/>
      </w:pPr>
    </w:p>
    <w:p>
      <w:pPr>
        <w:spacing w:before="240" w:after="100"/>
      </w:pPr>
      <w:r>
        <w:rPr>
          <w:b/>
          <w:sz w:val="24"/>
          <w:color w:val="2C5F2D"/>
          <w:rFonts w:ascii="Arial" w:hAnsi="Arial"/>
        </w:rPr>
        <w:t>The Evidence Base</w:t>
      </w:r>
    </w:p>
    <w:p>
      <w:pPr>
        <w:jc w:val="both"/>
        <w:spacing w:after="100"/>
      </w:pPr>
      <w:r>
        <w:rPr>
          <w:sz w:val="22"/>
          <w:rFonts w:ascii="Arial" w:hAnsi="Arial"/>
        </w:rPr>
        <w:t xml:space="preserve">The National Rural Crime Network's landmark report Captive and Controlled, published in 2019 following an 18 month research project across seven police force areas, remains the most comprehensive evidence base on rural domestic abuse in England and Wales. Its findings are stark.</w:t>
      </w:r>
    </w:p>
    <w:p>
      <w:pPr>
        <w:spacing w:after="120"/>
      </w:pPr>
    </w:p>
    <w:tbl>
      <w:tblPr>
        <w:tblW w:w="9026" w:type="dxa"/>
      </w:tblPr>
      <w:tblGrid>
        <w:gridCol w:w="1440"/>
        <w:gridCol w:w="7586"/>
      </w:tblGrid>
      <w:tr>
        <w:tc>
          <w:tcPr>
            <w:tcW w:w="1440" w:type="dxa"/>
            <w:shd w:val="clear" w:color="auto" w:fill="2C5F2D"/>
          </w:tcPr>
          <w:p>
            <w:pPr>
              <w:jc w:val="center"/>
            </w:pPr>
            <w:r>
              <w:rPr>
                <w:b/>
                <w:sz w:val="36"/>
                <w:color w:val="C4A35A"/>
                <w:rFonts w:ascii="Arial"/>
              </w:rPr>
              <w:t>25%</w:t>
            </w:r>
          </w:p>
        </w:tc>
        <w:tc>
          <w:tcPr>
            <w:tcW w:w="7586" w:type="dxa"/>
            <w:shd w:val="clear" w:color="auto" w:fill="F2F0EB"/>
          </w:tcPr>
          <w:p>
            <w:r>
              <w:rPr>
                <w:sz w:val="22"/>
                <w:rFonts w:ascii="Arial"/>
              </w:rPr>
              <w:t xml:space="preserve">longer on average. Domestic abuse in the most rural areas lasts 25% longer than in urban settings. The more rural the setting, the higher the risk of harm. National Rural Crime Network, Captive and Controlled, 2019</w:t>
            </w:r>
          </w:p>
        </w:tc>
      </w:tr>
    </w:tbl>
    <w:p>
      <w:pPr>
        <w:spacing w:after="120"/>
      </w:pPr>
    </w:p>
    <w:tbl>
      <w:tblPr>
        <w:tblW w:w="9026" w:type="dxa"/>
      </w:tblPr>
      <w:tblGrid>
        <w:gridCol w:w="1440"/>
        <w:gridCol w:w="7586"/>
      </w:tblGrid>
      <w:tr>
        <w:tc>
          <w:tcPr>
            <w:tcW w:w="1440" w:type="dxa"/>
            <w:shd w:val="clear" w:color="auto" w:fill="2C5F2D"/>
          </w:tcPr>
          <w:p>
            <w:pPr>
              <w:jc w:val="center"/>
            </w:pPr>
            <w:r>
              <w:rPr>
                <w:b/>
                <w:sz w:val="36"/>
                <w:color w:val="C4A35A"/>
                <w:rFonts w:ascii="Arial"/>
              </w:rPr>
              <w:t>50%</w:t>
            </w:r>
          </w:p>
        </w:tc>
        <w:tc>
          <w:tcPr>
            <w:tcW w:w="7586" w:type="dxa"/>
            <w:shd w:val="clear" w:color="auto" w:fill="F2F0EB"/>
          </w:tcPr>
          <w:p>
            <w:r>
              <w:rPr>
                <w:sz w:val="22"/>
                <w:rFonts w:ascii="Arial"/>
              </w:rPr>
              <w:t xml:space="preserve">less likely to report. Rural victims of domestic abuse are half as likely to report their abuse compared to urban victims. National Rural Crime Network, Captive and Controlled, 2019</w:t>
            </w:r>
          </w:p>
        </w:tc>
      </w:tr>
    </w:tbl>
    <w:p>
      <w:pPr>
        <w:spacing w:after="120"/>
      </w:pPr>
    </w:p>
    <w:tbl>
      <w:tblPr>
        <w:tblW w:w="9026" w:type="dxa"/>
      </w:tblPr>
      <w:tblGrid>
        <w:gridCol w:w="1440"/>
        <w:gridCol w:w="7586"/>
      </w:tblGrid>
      <w:tr>
        <w:tc>
          <w:tcPr>
            <w:tcW w:w="1440" w:type="dxa"/>
            <w:shd w:val="clear" w:color="auto" w:fill="2C5F2D"/>
          </w:tcPr>
          <w:p>
            <w:pPr>
              <w:jc w:val="center"/>
            </w:pPr>
            <w:r>
              <w:rPr>
                <w:b/>
                <w:sz w:val="36"/>
                <w:color w:val="C4A35A"/>
                <w:rFonts w:ascii="Arial"/>
              </w:rPr>
              <w:t>71%</w:t>
            </w:r>
          </w:p>
        </w:tc>
        <w:tc>
          <w:tcPr>
            <w:tcW w:w="7586" w:type="dxa"/>
            <w:shd w:val="clear" w:color="auto" w:fill="F2F0EB"/>
          </w:tcPr>
          <w:p>
            <w:r>
              <w:rPr>
                <w:sz w:val="22"/>
                <w:rFonts w:ascii="Arial"/>
              </w:rPr>
              <w:t xml:space="preserve">of domestic abuse survivors report their abuser used threats or harm to their animal as a tool of control. In rural settings where animals carry financial and livelihood weight, this figure is likely to be higher. Flynn 2000, Riggs et al 2018, NCDV Big Data Report 2025</w:t>
            </w:r>
          </w:p>
        </w:tc>
      </w:tr>
    </w:tbl>
    <w:p>
      <w:pPr>
        <w:spacing w:after="120"/>
      </w:pPr>
    </w:p>
    <w:tbl>
      <w:tblPr>
        <w:tblW w:w="9026" w:type="dxa"/>
      </w:tblPr>
      <w:tblGrid>
        <w:gridCol w:w="1440"/>
        <w:gridCol w:w="7586"/>
      </w:tblGrid>
      <w:tr>
        <w:tc>
          <w:tcPr>
            <w:tcW w:w="1440" w:type="dxa"/>
            <w:shd w:val="clear" w:color="auto" w:fill="2C5F2D"/>
          </w:tcPr>
          <w:p>
            <w:pPr>
              <w:jc w:val="center"/>
            </w:pPr>
            <w:r>
              <w:rPr>
                <w:b/>
                <w:sz w:val="36"/>
                <w:color w:val="C4A35A"/>
                <w:rFonts w:ascii="Arial"/>
              </w:rPr>
              <w:t>47</w:t>
            </w:r>
          </w:p>
        </w:tc>
        <w:tc>
          <w:tcPr>
            <w:tcW w:w="7586" w:type="dxa"/>
            <w:shd w:val="clear" w:color="auto" w:fill="F2F0EB"/>
          </w:tcPr>
          <w:p>
            <w:r>
              <w:rPr>
                <w:sz w:val="22"/>
                <w:rFonts w:ascii="Arial"/>
              </w:rPr>
              <w:t xml:space="preserve">farming suicides in England and Wales in 2024, a 7% rise on the previous year. Domestic abuse is a significant and underrecognised driver of the farming mental health crisis. Farm Safety Foundation, 2026</w:t>
            </w:r>
          </w:p>
        </w:tc>
      </w:tr>
    </w:tbl>
    <w:p>
      <w:pPr>
        <w:spacing w:after="120"/>
      </w:pPr>
    </w:p>
    <w:p>
      <w:pPr>
        <w:spacing w:before="240" w:after="100"/>
      </w:pPr>
      <w:r>
        <w:rPr>
          <w:b/>
          <w:sz w:val="24"/>
          <w:color w:val="2C5F2D"/>
          <w:rFonts w:ascii="Arial" w:hAnsi="Arial"/>
        </w:rPr>
        <w:t>Why Leaving Is Not Simple</w:t>
      </w:r>
    </w:p>
    <w:p>
      <w:pPr>
        <w:jc w:val="both"/>
        <w:spacing w:after="100"/>
      </w:pPr>
      <w:r>
        <w:rPr>
          <w:sz w:val="22"/>
          <w:rFonts w:ascii="Arial" w:hAnsi="Arial"/>
        </w:rPr>
        <w:t xml:space="preserve">For a survivor in a city, leaving an abusive relationship is already one of the most dangerous and difficult things a person can do. For a survivor in a rural, farming or equestrian community, leaving is categorically more complex.</w:t>
      </w:r>
    </w:p>
    <w:p>
      <w:pPr>
        <w:jc w:val="both"/>
        <w:spacing w:after="100"/>
      </w:pPr>
      <w:r>
        <w:rPr>
          <w:sz w:val="22"/>
          <w:rFonts w:ascii="Arial" w:hAnsi="Arial"/>
        </w:rPr>
        <w:t xml:space="preserve">Leaving does not just mean leaving a relationship. It can mean losing a home, because tied housing linked to a farm or yard disappears the moment the relationship ends. It can mean losing a livelihood, because shared farm accounts, jointly owned livestock and agricultural businesses have no clean line between personal and professional finances. It can mean losing a horse or a herd of cattle that represents decades of work, a professional identity and an income. It can mean losing a whole community, because in close-knit rural and equestrian settings, everyone knows everyone, and seeking help means everyone knows your business.</w:t>
      </w:r>
    </w:p>
    <w:p>
      <w:pPr>
        <w:jc w:val="both"/>
        <w:spacing w:after="100"/>
      </w:pPr>
      <w:r>
        <w:rPr>
          <w:sz w:val="22"/>
          <w:rFonts w:ascii="Arial" w:hAnsi="Arial"/>
        </w:rPr>
        <w:t xml:space="preserve">Mainstream domestic abuse services were not built for any of this. A refuge bed does not have space for a horse. A safety plan that does not account for livestock is not a safe plan. An IDVA who has never heard of a MARAC referral involving animal harm cannot properly assess the risk. These are not criticisms of mainstream services. They are simply the reality of a gap that has never been filled.</w:t>
      </w:r>
    </w:p>
    <w:p>
      <w:pPr>
        <w:spacing w:after="120"/>
      </w:pPr>
    </w:p>
    <w:p>
      <w:pPr>
        <w:spacing w:before="240" w:after="100"/>
      </w:pPr>
      <w:r>
        <w:rPr>
          <w:b/>
          <w:sz w:val="24"/>
          <w:color w:val="2C5F2D"/>
          <w:rFonts w:ascii="Arial" w:hAnsi="Arial"/>
        </w:rPr>
        <w:t>Isolation as a Weapon</w:t>
      </w:r>
    </w:p>
    <w:p>
      <w:pPr>
        <w:jc w:val="both"/>
        <w:spacing w:after="100"/>
      </w:pPr>
      <w:r>
        <w:rPr>
          <w:sz w:val="22"/>
          <w:rFonts w:ascii="Arial" w:hAnsi="Arial"/>
        </w:rPr>
        <w:t xml:space="preserve">There is clear evidence from the National Rural Crime Network that abusers specifically move victims to rural settings to further isolate them, or systematically use existing rural isolation to their advantage. A survivor fifteen miles from the nearest bus stop, with no access to a vehicle, no mobile signal and no neighbours within sight, is not just geographically isolated. They are strategically trapped.</w:t>
      </w:r>
    </w:p>
    <w:p>
      <w:pPr>
        <w:jc w:val="both"/>
        <w:spacing w:after="100"/>
      </w:pPr>
      <w:r>
        <w:rPr>
          <w:sz w:val="22"/>
          <w:rFonts w:ascii="Arial" w:hAnsi="Arial"/>
        </w:rPr>
        <w:t xml:space="preserve">In equestrian and farming communities this isolation is compounded. The yard is the world. The farm is the world. The perpetrator controls the transport, the money, the animals and the gate. Leaving requires a plan that accounts for all of these things simultaneously. No mainstream service currently offers that.</w:t>
      </w:r>
    </w:p>
    <w:p>
      <w:pPr>
        <w:spacing w:after="120"/>
      </w:pPr>
    </w:p>
    <w:p>
      <w:pPr>
        <w:spacing w:before="240" w:after="100"/>
      </w:pPr>
      <w:r>
        <w:rPr>
          <w:b/>
          <w:sz w:val="24"/>
          <w:color w:val="2C5F2D"/>
          <w:rFonts w:ascii="Arial" w:hAnsi="Arial"/>
        </w:rPr>
        <w:t>Community Silence and Cultural Barriers</w:t>
      </w:r>
    </w:p>
    <w:p>
      <w:pPr>
        <w:jc w:val="both"/>
        <w:spacing w:after="100"/>
      </w:pPr>
      <w:r>
        <w:rPr>
          <w:sz w:val="22"/>
          <w:rFonts w:ascii="Arial" w:hAnsi="Arial"/>
        </w:rPr>
        <w:t xml:space="preserve">The close-knit nature of rural and equestrian communities, one of their greatest strengths, can also be one of the most powerful barriers to disclosure. Perpetrators are often well known and well liked. They may be respected farmers, prominent yard owners or popular figures in local equestrian life. Their social capital protects them and silences survivors.</w:t>
      </w:r>
    </w:p>
    <w:p>
      <w:pPr>
        <w:jc w:val="both"/>
        <w:spacing w:after="100"/>
      </w:pPr>
      <w:r>
        <w:rPr>
          <w:sz w:val="22"/>
          <w:rFonts w:ascii="Arial" w:hAnsi="Arial"/>
        </w:rPr>
        <w:t xml:space="preserve">Research from the National Rural Crime Network found that survivors described feeling unable to seek help because everyone in their community knew everyone else. Seeking support risks community exposure, judgment and the loss of social belonging that for many rural and equestrian people is as fundamental as safety itself.</w:t>
      </w:r>
    </w:p>
    <w:p>
      <w:pPr>
        <w:spacing w:after="120"/>
      </w:pPr>
    </w:p>
    <w:p>
      <w:pPr>
        <w:spacing w:before="240" w:after="100"/>
      </w:pPr>
      <w:r>
        <w:rPr>
          <w:b/>
          <w:sz w:val="24"/>
          <w:color w:val="2C5F2D"/>
          <w:rFonts w:ascii="Arial" w:hAnsi="Arial"/>
        </w:rPr>
        <w:t>Older Survivors in Rural Communities</w:t>
      </w:r>
    </w:p>
    <w:p>
      <w:pPr>
        <w:jc w:val="both"/>
        <w:spacing w:after="100"/>
      </w:pPr>
      <w:r>
        <w:rPr>
          <w:sz w:val="22"/>
          <w:rFonts w:ascii="Arial" w:hAnsi="Arial"/>
        </w:rPr>
        <w:t xml:space="preserve">Older survivors in rural communities face compounding barriers that are almost entirely invisible within current DA frameworks. Decades of normalised abuse that has never been named. Financial dependence through farm ownership structures and joint agricultural accounts. Reliance on the abuser for transport, daily care and connection to the outside world. Digital exclusion that makes online help-seeking impossible. The isolation of a remote farmhouse where nobody comes and nobody asks.</w:t>
      </w:r>
    </w:p>
    <w:p>
      <w:pPr>
        <w:jc w:val="both"/>
        <w:spacing w:after="100"/>
      </w:pPr>
      <w:r>
        <w:rPr>
          <w:sz w:val="22"/>
          <w:rFonts w:ascii="Arial" w:hAnsi="Arial"/>
        </w:rPr>
        <w:t xml:space="preserve">Over one million older people experience domestic abuse in the UK every year. In rural farming communities they are among the most hidden of all. The Bridle Path Initiative's Reclaiming Your Path programme is designed specifically for this group because no other specialist provision currently exists for them.</w:t>
      </w:r>
    </w:p>
    <w:p>
      <w:pPr>
        <w:spacing w:after="120"/>
      </w:pPr>
    </w:p>
    <w:p>
      <w:pPr>
        <w:spacing w:before="240" w:after="100"/>
      </w:pPr>
      <w:r>
        <w:rPr>
          <w:b/>
          <w:sz w:val="24"/>
          <w:color w:val="2C5F2D"/>
          <w:rFonts w:ascii="Arial" w:hAnsi="Arial"/>
        </w:rPr>
        <w:t>Professionals Who Cannot See What They Are Looking At</w:t>
      </w:r>
    </w:p>
    <w:p>
      <w:pPr>
        <w:jc w:val="both"/>
        <w:spacing w:after="100"/>
      </w:pPr>
      <w:r>
        <w:rPr>
          <w:sz w:val="22"/>
          <w:rFonts w:ascii="Arial" w:hAnsi="Arial"/>
        </w:rPr>
        <w:t xml:space="preserve">The people most likely to encounter domestic abuse in rural, farming and equestrian communities are not DA professionals. They are vets, farriers, yard managers, riding instructors, farm workers and agricultural advisors. They are in these communities regularly. They see the animals. They notice when a horse that was there on Monday is gone by Friday. They see the injuries that do not add up. They sense the silence.</w:t>
      </w:r>
    </w:p>
    <w:p>
      <w:pPr>
        <w:jc w:val="both"/>
        <w:spacing w:after="100"/>
      </w:pPr>
      <w:r>
        <w:rPr>
          <w:sz w:val="22"/>
          <w:rFonts w:ascii="Arial" w:hAnsi="Arial"/>
        </w:rPr>
        <w:t xml:space="preserve">And they have no training, no framework and no referral pathway. The College of Policing formally recognises that animal abuse in a household increases the likelihood that other abuse is occurring. Yet the professionals most likely to witness that animal harm in rural and equestrian settings have never been equipped to act on it. The Bridle Path Initiative exists to change that through specialist CPD training that nobody else currently provides.</w:t>
      </w:r>
    </w:p>
    <w:p>
      <w:pPr>
        <w:spacing w:after="120"/>
      </w:pPr>
    </w:p>
    <w:p>
      <w:pPr>
        <w:spacing w:before="240" w:after="100"/>
      </w:pPr>
      <w:r>
        <w:rPr>
          <w:b/>
          <w:sz w:val="24"/>
          <w:color w:val="2C5F2D"/>
          <w:rFonts w:ascii="Arial" w:hAnsi="Arial"/>
        </w:rPr>
        <w:t>Why The Bridle Path Initiative Must Exist</w:t>
      </w:r>
    </w:p>
    <w:p>
      <w:pPr>
        <w:jc w:val="both"/>
        <w:spacing w:after="100"/>
      </w:pPr>
      <w:r>
        <w:rPr>
          <w:sz w:val="22"/>
          <w:rFonts w:ascii="Arial" w:hAnsi="Arial"/>
        </w:rPr>
        <w:t xml:space="preserve">No organisation in the UK currently provides a specialist domestic abuse response built exclusively for rural, farming and equestrian communities. Not one. Mainstream DA services are built for cities and towns. Rural DA organisations provide broader rural responses but do not have the equestrian and farming specialism, the animal coercive control framework or the legislative reform work that these communities specifically need.</w:t>
      </w:r>
    </w:p>
    <w:p>
      <w:pPr>
        <w:jc w:val="both"/>
        <w:spacing w:after="100"/>
      </w:pPr>
      <w:r>
        <w:rPr>
          <w:sz w:val="22"/>
          <w:rFonts w:ascii="Arial" w:hAnsi="Arial"/>
        </w:rPr>
        <w:t xml:space="preserve">The Bridle Path Initiative was established because this gap has real and devastating consequences. Survivors stay longer because there is nowhere that understands their world. Perpetrators are not identified as DA perpetrators because the animal harm they commit is recorded as criminal damage. Professionals miss the signs because nobody has taught them what to look for. And older survivors in remote farmhouses grow old in silence because the service that could reach them has never existed.</w:t>
      </w:r>
    </w:p>
    <w:p>
      <w:pPr>
        <w:jc w:val="both"/>
        <w:spacing w:after="100"/>
      </w:pPr>
      <w:r>
        <w:rPr>
          <w:sz w:val="22"/>
          <w:rFonts w:ascii="Arial" w:hAnsi="Arial"/>
        </w:rPr>
        <w:t xml:space="preserve">This is what The Bridle Path Initiative is here to change.</w:t>
      </w:r>
    </w:p>
    <w:p>
      <w:pPr>
        <w:pBdr>
          <w:bottom w:val="single" w:sz="6" w:space="1" w:color="C4A35A"/>
        </w:pBdr>
        <w:spacing w:after="160"/>
      </w:pPr>
    </w:p>
    <w:p>
      <w:pPr>
        <w:pBdr>
          <w:bottom w:val="single" w:color="C4A35A" w:sz="4" w:space="1"/>
        </w:pBdr>
        <w:spacing w:after="120" w:before="320"/>
      </w:pPr>
      <w:r>
        <w:rPr>
          <w:rFonts w:ascii="Arial" w:cs="Arial" w:eastAsia="Arial" w:hAnsi="Arial"/>
          <w:b/>
          <w:bCs/>
          <w:color w:val="2C5F2D"/>
          <w:sz w:val="28"/>
          <w:szCs w:val="28"/>
        </w:rPr>
        <w:t>5. The Rural and Equestrian Dimension — The Legislative Impact</w:t>
      </w:r>
    </w:p>
    <w:p>
      <w:pPr>
        <w:spacing w:after="120"/>
        <w:jc w:val="both"/>
      </w:pPr>
      <w:r>
        <w:rPr>
          <w:rFonts w:ascii="Arial" w:cs="Arial" w:eastAsia="Arial" w:hAnsi="Arial"/>
          <w:sz w:val="22"/>
          <w:szCs w:val="22"/>
        </w:rPr>
        <w:t>The legislative gap described above has particular and compounding consequences in rural, farming and equestrian communities, the communities The Bridle Path Initiative was established to serve.</w:t>
      </w:r>
    </w:p>
    <w:p>
      <w:pPr>
        <w:spacing w:after="80"/>
      </w:pPr>
      <w:r/>
    </w:p>
    <w:p>
      <w:pPr>
        <w:pStyle w:val="ListParagraph"/>
        <w:numPr>
          <w:ilvl w:val="0"/>
          <w:numId w:val="2"/>
        </w:numPr>
        <w:spacing w:after="80"/>
      </w:pPr>
      <w:r>
        <w:rPr>
          <w:rFonts w:ascii="Arial" w:cs="Arial" w:eastAsia="Arial" w:hAnsi="Arial"/>
          <w:sz w:val="22"/>
          <w:szCs w:val="22"/>
        </w:rPr>
        <w:t>Horses, livestock, working dogs and farm animals are used by perpetrators as tools of coercive control in ways that are distinct from companion animal abuse in urban settings</w:t>
      </w:r>
    </w:p>
    <w:p>
      <w:pPr>
        <w:pStyle w:val="ListParagraph"/>
        <w:numPr>
          <w:ilvl w:val="0"/>
          <w:numId w:val="2"/>
        </w:numPr>
        <w:spacing w:after="80"/>
      </w:pPr>
      <w:r>
        <w:rPr>
          <w:rFonts w:ascii="Arial" w:cs="Arial" w:eastAsia="Arial" w:hAnsi="Arial"/>
          <w:sz w:val="22"/>
          <w:szCs w:val="22"/>
        </w:rPr>
        <w:t>The financial and emotional significance of a horse or livestock animal to a survivor is profound, harm to an animal is a uniquely powerful tool of coercion in these communities</w:t>
      </w:r>
    </w:p>
    <w:p>
      <w:pPr>
        <w:pStyle w:val="ListParagraph"/>
        <w:numPr>
          <w:ilvl w:val="0"/>
          <w:numId w:val="2"/>
        </w:numPr>
        <w:spacing w:after="80"/>
      </w:pPr>
      <w:r>
        <w:rPr>
          <w:rFonts w:ascii="Arial" w:cs="Arial" w:eastAsia="Arial" w:hAnsi="Arial"/>
          <w:sz w:val="22"/>
          <w:szCs w:val="22"/>
        </w:rPr>
        <w:t>Rural isolation means incidents are less likely to be witnessed, reported or investigated</w:t>
      </w:r>
    </w:p>
    <w:p>
      <w:pPr>
        <w:pStyle w:val="ListParagraph"/>
        <w:numPr>
          <w:ilvl w:val="0"/>
          <w:numId w:val="2"/>
        </w:numPr>
        <w:spacing w:after="80"/>
      </w:pPr>
      <w:r>
        <w:rPr>
          <w:rFonts w:ascii="Arial" w:cs="Arial" w:eastAsia="Arial" w:hAnsi="Arial"/>
          <w:sz w:val="22"/>
          <w:szCs w:val="22"/>
        </w:rPr>
        <w:t>The close-knit nature of equestrian and farming communities creates powerful cultural barriers to disclosure</w:t>
      </w:r>
    </w:p>
    <w:p>
      <w:pPr>
        <w:pStyle w:val="ListParagraph"/>
        <w:numPr>
          <w:ilvl w:val="0"/>
          <w:numId w:val="2"/>
        </w:numPr>
        <w:spacing w:after="80"/>
      </w:pPr>
      <w:r>
        <w:rPr>
          <w:rFonts w:ascii="Arial" w:cs="Arial" w:eastAsia="Arial" w:hAnsi="Arial"/>
          <w:sz w:val="22"/>
          <w:szCs w:val="22"/>
        </w:rPr>
        <w:t>Vets, farriers, yard managers and farm workers who witness animal harm have no specialist referral pathway and no training to recognise it as a potential domestic abuse indicator</w:t>
      </w:r>
    </w:p>
    <w:p>
      <w:pPr>
        <w:pStyle w:val="ListParagraph"/>
        <w:numPr>
          <w:ilvl w:val="0"/>
          <w:numId w:val="2"/>
        </w:numPr>
        <w:spacing w:after="80"/>
      </w:pPr>
      <w:r>
        <w:rPr>
          <w:rFonts w:ascii="Arial" w:cs="Arial" w:eastAsia="Arial" w:hAnsi="Arial"/>
          <w:sz w:val="22"/>
          <w:szCs w:val="22"/>
        </w:rPr>
        <w:t>When animal abuse is subject to property-based charging rather than recorded as part of a pattern of coercive control, risk assessments for survivors in these communities are fundamentally incomplete</w:t>
      </w:r>
    </w:p>
    <w:p>
      <w:pPr>
        <w:spacing w:after="120"/>
      </w:pPr>
      <w:r/>
    </w:p>
    <w:p>
      <w:pPr>
        <w:spacing w:after="120"/>
        <w:jc w:val="both"/>
      </w:pPr>
      <w:r>
        <w:rPr>
          <w:rFonts w:ascii="Arial" w:cs="Arial" w:eastAsia="Arial" w:hAnsi="Arial"/>
          <w:sz w:val="22"/>
          <w:szCs w:val="22"/>
        </w:rPr>
        <w:t>The Bridle Path Initiative is currently conducting the specialist UK survey focused on domestic abuse in equestrian and rural communities. Early indications from our ongoing survey suggest that survivors in these settings face barriers to disclosure and help-seeking that mainstream services are not equipped to address, and that animal harm, including sexually motivated harm, is a recurring feature of the abuse they experience.</w:t>
      </w:r>
    </w:p>
    <w:p>
      <w:pPr>
        <w:spacing w:after="160"/>
      </w:pPr>
      <w:r/>
    </w:p>
    <w:p>
      <w:pPr>
        <w:pBdr>
          <w:bottom w:val="single" w:color="C4A35A" w:sz="4" w:space="1"/>
        </w:pBdr>
        <w:spacing w:after="120" w:before="320"/>
      </w:pPr>
      <w:r>
        <w:rPr>
          <w:rFonts w:ascii="Arial" w:cs="Arial" w:eastAsia="Arial" w:hAnsi="Arial"/>
          <w:b/>
          <w:bCs/>
          <w:color w:val="2C5F2D"/>
          <w:sz w:val="28"/>
          <w:szCs w:val="28"/>
        </w:rPr>
        <w:t>6. What Needs to Change</w:t>
      </w:r>
    </w:p>
    <w:p>
      <w:pPr>
        <w:spacing w:after="100" w:before="240"/>
      </w:pPr>
      <w:r>
        <w:rPr>
          <w:rFonts w:ascii="Arial" w:cs="Arial" w:eastAsia="Arial" w:hAnsi="Arial"/>
          <w:b/>
          <w:bCs/>
          <w:color w:val="2C5F2D"/>
          <w:sz w:val="24"/>
          <w:szCs w:val="24"/>
        </w:rPr>
        <w:t>Legislative Reform</w:t>
      </w:r>
    </w:p>
    <w:p>
      <w:pPr>
        <w:pStyle w:val="ListParagraph"/>
        <w:numPr>
          <w:ilvl w:val="0"/>
          <w:numId w:val="2"/>
        </w:numPr>
        <w:spacing w:after="80"/>
      </w:pPr>
      <w:r>
        <w:rPr>
          <w:rFonts w:ascii="Arial" w:cs="Arial" w:eastAsia="Arial" w:hAnsi="Arial"/>
          <w:sz w:val="22"/>
          <w:szCs w:val="22"/>
        </w:rPr>
        <w:t>The Crime and Policing Act 2026 has created a broader offence of sexual activity with an animal. This must now be effectively implemented and enforced, particularly in rural, farming and equestrian contexts where cases are most likely to go unreported and unrecognised</w:t>
      </w:r>
    </w:p>
    <w:p>
      <w:pPr>
        <w:pStyle w:val="ListParagraph"/>
        <w:numPr>
          <w:ilvl w:val="0"/>
          <w:numId w:val="2"/>
        </w:numPr>
        <w:spacing w:after="80"/>
      </w:pPr>
      <w:r>
        <w:rPr>
          <w:rFonts w:ascii="Arial" w:cs="Arial" w:eastAsia="Arial" w:hAnsi="Arial"/>
          <w:sz w:val="22"/>
          <w:szCs w:val="22"/>
        </w:rPr>
        <w:t>Animal harm in domestic abuse contexts should be explicitly and consistently recorded as part of coercive and controlling behaviour under the Serious Crime Act 2015, not under property-based legislation</w:t>
      </w:r>
    </w:p>
    <w:p>
      <w:pPr>
        <w:pStyle w:val="ListParagraph"/>
        <w:numPr>
          <w:ilvl w:val="0"/>
          <w:numId w:val="2"/>
        </w:numPr>
        <w:spacing w:after="80"/>
      </w:pPr>
      <w:r>
        <w:rPr>
          <w:rFonts w:ascii="Arial" w:cs="Arial" w:eastAsia="Arial" w:hAnsi="Arial"/>
          <w:sz w:val="22"/>
          <w:szCs w:val="22"/>
        </w:rPr>
        <w:t>Sentencing guidelines should reflect the use of animal harm as a tool of coercive control, with aggravated sentences where it forms part of a pattern of domestic abuse</w:t>
      </w:r>
    </w:p>
    <w:p>
      <w:pPr>
        <w:pStyle w:val="ListParagraph"/>
        <w:numPr>
          <w:ilvl w:val="0"/>
          <w:numId w:val="2"/>
        </w:numPr>
        <w:spacing w:after="80"/>
      </w:pPr>
      <w:r>
        <w:rPr>
          <w:rFonts w:ascii="Arial" w:cs="Arial" w:eastAsia="Arial" w:hAnsi="Arial"/>
          <w:sz w:val="22"/>
          <w:szCs w:val="22"/>
        </w:rPr>
        <w:t>This legislative reform should be explicitly linked to the government's Violence Against Women and Girls Strategy and its action plan commitments</w:t>
      </w:r>
    </w:p>
    <w:p>
      <w:pPr>
        <w:spacing w:after="80"/>
      </w:pPr>
      <w:r/>
    </w:p>
    <w:p>
      <w:pPr>
        <w:spacing w:after="100" w:before="240"/>
      </w:pPr>
      <w:r>
        <w:rPr>
          <w:rFonts w:ascii="Arial" w:cs="Arial" w:eastAsia="Arial" w:hAnsi="Arial"/>
          <w:b/>
          <w:bCs/>
          <w:color w:val="2C5F2D"/>
          <w:sz w:val="24"/>
          <w:szCs w:val="24"/>
        </w:rPr>
        <w:t>Recording and Prosecution</w:t>
      </w:r>
    </w:p>
    <w:p>
      <w:pPr>
        <w:pStyle w:val="ListParagraph"/>
        <w:numPr>
          <w:ilvl w:val="0"/>
          <w:numId w:val="2"/>
        </w:numPr>
        <w:spacing w:after="80"/>
      </w:pPr>
      <w:r>
        <w:rPr>
          <w:rFonts w:ascii="Arial" w:cs="Arial" w:eastAsia="Arial" w:hAnsi="Arial"/>
          <w:sz w:val="22"/>
          <w:szCs w:val="22"/>
        </w:rPr>
        <w:t>Police forces should be required to record animal harm in domestic abuse cases as a DA-related offence</w:t>
      </w:r>
    </w:p>
    <w:p>
      <w:pPr>
        <w:pStyle w:val="ListParagraph"/>
        <w:numPr>
          <w:ilvl w:val="0"/>
          <w:numId w:val="2"/>
        </w:numPr>
        <w:spacing w:after="80"/>
      </w:pPr>
      <w:r>
        <w:rPr>
          <w:rFonts w:ascii="Arial" w:cs="Arial" w:eastAsia="Arial" w:hAnsi="Arial"/>
          <w:sz w:val="22"/>
          <w:szCs w:val="22"/>
        </w:rPr>
        <w:t>CPS guidance should be updated to reflect the connection between animal sexual abuse and wider sexual and domestic offending</w:t>
      </w:r>
    </w:p>
    <w:p>
      <w:pPr>
        <w:pStyle w:val="ListParagraph"/>
        <w:numPr>
          <w:ilvl w:val="0"/>
          <w:numId w:val="2"/>
        </w:numPr>
        <w:spacing w:after="80"/>
      </w:pPr>
      <w:r>
        <w:rPr>
          <w:rFonts w:ascii="Arial" w:cs="Arial" w:eastAsia="Arial" w:hAnsi="Arial"/>
          <w:sz w:val="22"/>
          <w:szCs w:val="22"/>
        </w:rPr>
        <w:t>MARAC processes should include animal harm as a risk indicator in all cases</w:t>
      </w:r>
    </w:p>
    <w:p>
      <w:pPr>
        <w:spacing w:after="80"/>
      </w:pPr>
      <w:r/>
    </w:p>
    <w:p>
      <w:pPr>
        <w:spacing w:after="100" w:before="240"/>
      </w:pPr>
      <w:r>
        <w:rPr>
          <w:rFonts w:ascii="Arial" w:cs="Arial" w:eastAsia="Arial" w:hAnsi="Arial"/>
          <w:b/>
          <w:bCs/>
          <w:color w:val="2C5F2D"/>
          <w:sz w:val="24"/>
          <w:szCs w:val="24"/>
        </w:rPr>
        <w:t>Training and Awareness</w:t>
      </w:r>
    </w:p>
    <w:p>
      <w:pPr>
        <w:pStyle w:val="ListParagraph"/>
        <w:numPr>
          <w:ilvl w:val="0"/>
          <w:numId w:val="2"/>
        </w:numPr>
        <w:spacing w:after="80"/>
      </w:pPr>
      <w:r>
        <w:rPr>
          <w:rFonts w:ascii="Arial" w:cs="Arial" w:eastAsia="Arial" w:hAnsi="Arial"/>
          <w:sz w:val="22"/>
          <w:szCs w:val="22"/>
        </w:rPr>
        <w:t>Vets, farriers, yard managers and rural professionals should receive specialist training on recognising animal harm as a domestic abuse indicator, with clear referral pathways</w:t>
      </w:r>
    </w:p>
    <w:p>
      <w:pPr>
        <w:pStyle w:val="ListParagraph"/>
        <w:numPr>
          <w:ilvl w:val="0"/>
          <w:numId w:val="2"/>
        </w:numPr>
        <w:spacing w:after="80"/>
      </w:pPr>
      <w:r>
        <w:rPr>
          <w:rFonts w:ascii="Arial" w:cs="Arial" w:eastAsia="Arial" w:hAnsi="Arial"/>
          <w:sz w:val="22"/>
          <w:szCs w:val="22"/>
        </w:rPr>
        <w:t>Police rural crime and DA units should receive joint training on the intersection of animal abuse and coercive control</w:t>
      </w:r>
    </w:p>
    <w:p>
      <w:pPr>
        <w:pStyle w:val="ListParagraph"/>
        <w:numPr>
          <w:ilvl w:val="0"/>
          <w:numId w:val="2"/>
        </w:numPr>
        <w:spacing w:after="80"/>
      </w:pPr>
      <w:r>
        <w:rPr>
          <w:rFonts w:ascii="Arial" w:cs="Arial" w:eastAsia="Arial" w:hAnsi="Arial"/>
          <w:sz w:val="22"/>
          <w:szCs w:val="22"/>
        </w:rPr>
        <w:t>The equestrian industry, including the BHA, BHS and Pony Club, should embed domestic abuse and animal coercive control awareness into their safeguarding frameworks</w:t>
      </w:r>
    </w:p>
    <w:p>
      <w:pPr>
        <w:spacing w:after="160"/>
      </w:pPr>
      <w:r/>
    </w:p>
    <w:p>
      <w:pPr>
        <w:pBdr>
          <w:bottom w:val="single" w:color="C4A35A" w:sz="4" w:space="1"/>
        </w:pBdr>
        <w:spacing w:after="120" w:before="320"/>
      </w:pPr>
      <w:r>
        <w:rPr>
          <w:rFonts w:ascii="Arial" w:cs="Arial" w:eastAsia="Arial" w:hAnsi="Arial"/>
          <w:b/>
          <w:bCs/>
          <w:color w:val="2C5F2D"/>
          <w:sz w:val="28"/>
          <w:szCs w:val="28"/>
        </w:rPr>
        <w:t>7. About The Bridle Path Initiative CIC</w:t>
      </w:r>
    </w:p>
    <w:p>
      <w:pPr>
        <w:spacing w:after="120"/>
        <w:jc w:val="both"/>
      </w:pPr>
      <w:r>
        <w:rPr>
          <w:rFonts w:ascii="Arial" w:cs="Arial" w:eastAsia="Arial" w:hAnsi="Arial"/>
          <w:sz w:val="22"/>
          <w:szCs w:val="22"/>
        </w:rPr>
        <w:t>The Bridle Path Initiative CIC is a specialist organisation focused on domestic abuse and sexual violence in rural, farming and equestrian communities, currently in early development. Led by a qualified IDVA and ISVA with over ten years of frontline safeguarding experience, The Bridle Path Initiative is building the evidence base, the training resources and the referral pathways that are currently absent for survivors in these communities.</w:t>
      </w:r>
    </w:p>
    <w:p>
      <w:pPr>
        <w:spacing w:after="80"/>
      </w:pPr>
      <w:r/>
    </w:p>
    <w:p>
      <w:pPr>
        <w:spacing w:after="100" w:before="240"/>
      </w:pPr>
      <w:r>
        <w:rPr>
          <w:rFonts w:ascii="Arial" w:cs="Arial" w:eastAsia="Arial" w:hAnsi="Arial"/>
          <w:b/>
          <w:bCs/>
          <w:color w:val="2C5F2D"/>
          <w:sz w:val="24"/>
          <w:szCs w:val="24"/>
        </w:rPr>
        <w:t>What The Bridle Path Initiative Will Do</w:t>
      </w:r>
    </w:p>
    <w:p>
      <w:pPr>
        <w:spacing w:after="120"/>
        <w:jc w:val="both"/>
      </w:pPr>
      <w:r>
        <w:rPr>
          <w:rFonts w:ascii="Arial" w:cs="Arial" w:eastAsia="Arial" w:hAnsi="Arial"/>
          <w:sz w:val="22"/>
          <w:szCs w:val="22"/>
        </w:rPr>
      </w:r>
    </w:p>
    <w:p>
      <w:pPr>
        <w:spacing w:after="100"/>
      </w:pPr>
      <w:r>
        <w:rPr>
          <w:rFonts w:ascii="Arial" w:cs="Arial" w:eastAsia="Arial" w:hAnsi="Arial"/>
          <w:b/>
          <w:bCs/>
          <w:color w:val="2C5F2D"/>
          <w:sz w:val="22"/>
          <w:szCs w:val="22"/>
        </w:rPr>
        <w:t xml:space="preserve">Specialist Advocacy: </w:t>
      </w:r>
      <w:r>
        <w:rPr>
          <w:rFonts w:ascii="Arial" w:cs="Arial" w:eastAsia="Arial" w:hAnsi="Arial"/>
          <w:sz w:val="22"/>
          <w:szCs w:val="22"/>
        </w:rPr>
        <w:t>We aim to provide specialist IDVA and ISVA advocacy to survivors of domestic abuse and sexual violence in rural, farming and equestrian communities, including safety planning that accounts for animals, livestock, tied housing and shared farm finances.</w:t>
      </w:r>
    </w:p>
    <w:p>
      <w:pPr>
        <w:spacing w:after="100"/>
      </w:pPr>
      <w:r>
        <w:rPr>
          <w:rFonts w:ascii="Arial" w:cs="Arial" w:eastAsia="Arial" w:hAnsi="Arial"/>
          <w:b/>
          <w:bCs/>
          <w:color w:val="2C5F2D"/>
          <w:sz w:val="22"/>
          <w:szCs w:val="22"/>
        </w:rPr>
        <w:t xml:space="preserve">Bespoke Training: </w:t>
      </w:r>
      <w:r>
        <w:rPr>
          <w:rFonts w:ascii="Arial" w:cs="Arial" w:eastAsia="Arial" w:hAnsi="Arial"/>
          <w:sz w:val="22"/>
          <w:szCs w:val="22"/>
        </w:rPr>
        <w:t>We are developing specialist CPD training to vets, farriers, yard managers, riding instructors, farm workers, rural GPs and DA professionals, equipping them to recognise animal harm as a domestic abuse indicator and to respond safely and effectively.</w:t>
      </w:r>
    </w:p>
    <w:p>
      <w:pPr>
        <w:spacing w:after="100"/>
      </w:pPr>
      <w:r>
        <w:rPr>
          <w:rFonts w:ascii="Arial" w:cs="Arial" w:eastAsia="Arial" w:hAnsi="Arial"/>
          <w:b/>
          <w:bCs/>
          <w:color w:val="2C5F2D"/>
          <w:sz w:val="22"/>
          <w:szCs w:val="22"/>
        </w:rPr>
        <w:t xml:space="preserve">Recovery Programmes: </w:t>
      </w:r>
      <w:r>
        <w:rPr>
          <w:rFonts w:ascii="Arial" w:cs="Arial" w:eastAsia="Arial" w:hAnsi="Arial"/>
          <w:sz w:val="22"/>
          <w:szCs w:val="22"/>
        </w:rPr>
        <w:t>Our planned programmes include Healing Hearts and Hooves, a trauma-informed equine-assisted recovery programme for survivors, alongside Reclaiming Your Path for older survivors and Breaking the Reins peer support groups.</w:t>
      </w:r>
    </w:p>
    <w:p>
      <w:pPr>
        <w:spacing w:after="100"/>
      </w:pPr>
      <w:r>
        <w:rPr>
          <w:rFonts w:ascii="Arial" w:cs="Arial" w:eastAsia="Arial" w:hAnsi="Arial"/>
          <w:b/>
          <w:bCs/>
          <w:color w:val="2C5F2D"/>
          <w:sz w:val="22"/>
          <w:szCs w:val="22"/>
        </w:rPr>
        <w:t xml:space="preserve">Research and Evidence: </w:t>
      </w:r>
      <w:r>
        <w:rPr>
          <w:rFonts w:ascii="Arial" w:cs="Arial" w:eastAsia="Arial" w:hAnsi="Arial"/>
          <w:sz w:val="22"/>
          <w:szCs w:val="22"/>
        </w:rPr>
        <w:t>We aim to build and publish the first UK evidence base on domestic abuse in equestrian and rural communities through survivor surveys, professional consultation and academic partnership.</w:t>
      </w:r>
    </w:p>
    <w:p>
      <w:pPr>
        <w:spacing w:after="120"/>
      </w:pPr>
      <w:r>
        <w:rPr>
          <w:rFonts w:ascii="Arial" w:cs="Arial" w:eastAsia="Arial" w:hAnsi="Arial"/>
          <w:b/>
          <w:bCs/>
          <w:color w:val="2C5F2D"/>
          <w:sz w:val="22"/>
          <w:szCs w:val="22"/>
        </w:rPr>
        <w:t xml:space="preserve">Policy and Legislative Reform: </w:t>
      </w:r>
      <w:r>
        <w:rPr>
          <w:rFonts w:ascii="Arial" w:cs="Arial" w:eastAsia="Arial" w:hAnsi="Arial"/>
          <w:sz w:val="22"/>
          <w:szCs w:val="22"/>
        </w:rPr>
        <w:t>We intend to work with statutory partners, parliamentary stakeholders and sector organisations to influence policy, improve recording and prosecution practice, and advocate for legislative reform that properly recognises animal harm in domestic abuse contexts.</w:t>
      </w:r>
    </w:p>
    <w:p>
      <w:pPr>
        <w:spacing w:after="80"/>
      </w:pPr>
      <w:r/>
    </w:p>
    <w:p>
      <w:pPr>
        <w:spacing w:after="100" w:before="240"/>
      </w:pPr>
      <w:r>
        <w:rPr>
          <w:rFonts w:ascii="Arial" w:cs="Arial" w:eastAsia="Arial" w:hAnsi="Arial"/>
          <w:b/>
          <w:bCs/>
          <w:color w:val="2C5F2D"/>
          <w:sz w:val="24"/>
          <w:szCs w:val="24"/>
        </w:rPr>
        <w:t>Our Legal Structure and Community Commitment</w:t>
      </w:r>
    </w:p>
    <w:p>
      <w:pPr>
        <w:spacing w:after="120"/>
        <w:jc w:val="both"/>
      </w:pPr>
      <w:r>
        <w:rPr>
          <w:rFonts w:ascii="Arial" w:cs="Arial" w:eastAsia="Arial" w:hAnsi="Arial"/>
          <w:sz w:val="22"/>
          <w:szCs w:val="22"/>
        </w:rPr>
        <w:t>The Bridle Path Initiative is constituted as a Community Interest Company, a legal structure that exists specifically to serve community rather than private interests. Any surplus generated will be reinvested entirely into furthering our community objectives, including expanding support services, developing new programmes and delivering additional training and awareness. Assets and profits will not be used for private gain.</w:t>
      </w:r>
    </w:p>
    <w:p>
      <w:pPr>
        <w:spacing w:after="120"/>
        <w:jc w:val="both"/>
      </w:pPr>
      <w:r>
        <w:rPr>
          <w:rFonts w:ascii="Arial" w:cs="Arial" w:eastAsia="Arial" w:hAnsi="Arial"/>
          <w:sz w:val="22"/>
          <w:szCs w:val="22"/>
        </w:rPr>
        <w:t>The Bridle Path Initiative is currently in early development and has initiated engagement with Naturewatch Foundation and the British Horseracing Authority, alongside academic researchers and law enforcement professionals, to address the legislative and practice gaps identified in this statement. We welcome the opportunity to contribute evidence to parliamentary select committees, APPGs and policy consultations on animal welfare, domestic abuse, rural communities and Violence Against Women and Girls.</w:t>
      </w:r>
    </w:p>
    <w:p>
      <w:pPr>
        <w:spacing w:after="240"/>
      </w:pPr>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Borders>
              <w:top w:val="none" w:color="FFFFFF" w:sz="0"/>
              <w:left w:val="none" w:color="FFFFFF" w:sz="0"/>
              <w:bottom w:val="none" w:color="FFFFFF" w:sz="0"/>
              <w:right w:val="none" w:color="FFFFFF" w:sz="0"/>
            </w:tcBorders>
            <w:shd w:fill="2C5F2D" w:val="clear"/>
            <w:tcMar>
              <w:top w:type="dxa" w:w="200"/>
              <w:left w:type="dxa" w:w="320"/>
              <w:bottom w:type="dxa" w:w="200"/>
              <w:right w:type="dxa" w:w="320"/>
            </w:tcMar>
          </w:tcPr>
          <w:p>
            <w:pPr>
              <w:spacing w:after="60"/>
            </w:pPr>
            <w:r>
              <w:rPr>
                <w:rFonts w:ascii="Arial" w:cs="Arial" w:eastAsia="Arial" w:hAnsi="Arial"/>
                <w:b/>
                <w:bCs/>
                <w:color w:val="FFFFFF"/>
                <w:sz w:val="24"/>
                <w:szCs w:val="24"/>
              </w:rPr>
              <w:t>The Bridle Path Initiative CIC</w:t>
            </w:r>
          </w:p>
          <w:p>
            <w:pPr>
              <w:spacing w:after="60"/>
            </w:pPr>
            <w:r>
              <w:rPr>
                <w:rFonts w:ascii="Arial" w:cs="Arial" w:eastAsia="Arial" w:hAnsi="Arial"/>
                <w:color w:val="84B59F"/>
                <w:sz w:val="20"/>
                <w:szCs w:val="20"/>
              </w:rPr>
              <w:t>enquiries@thebridlepath.co.uk  |  thebridlepath.co.uk</w:t>
            </w:r>
          </w:p>
          <w:p>
            <w:pPr>
              <w:spacing w:after="60"/>
            </w:pPr>
            <w:r>
              <w:rPr>
                <w:rFonts w:ascii="Arial" w:cs="Arial" w:eastAsia="Arial" w:hAnsi="Arial"/>
                <w:color w:val="E8E0D0"/>
                <w:sz w:val="20"/>
                <w:szCs w:val="20"/>
              </w:rPr>
              <w:t>Kings Head House, 15 London End, Beaconsfield, HP9 2HN</w:t>
            </w:r>
          </w:p>
          <w:p>
            <w:r>
              <w:rPr>
                <w:rFonts w:ascii="Arial" w:cs="Arial" w:eastAsia="Arial" w:hAnsi="Arial"/>
                <w:i/>
                <w:iCs/>
                <w:color w:val="C4A35A"/>
                <w:sz w:val="20"/>
                <w:szCs w:val="20"/>
              </w:rPr>
              <w:t>Support Beyond the Gate</w:t>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A35A" w:sz="4" w:space="1"/>
      </w:pBdr>
      <w:spacing w:before="120"/>
    </w:pPr>
    <w:r>
      <w:rPr>
        <w:rFonts w:ascii="Arial" w:cs="Arial" w:eastAsia="Arial" w:hAnsi="Arial"/>
        <w:color w:val="888888"/>
        <w:sz w:val="16"/>
        <w:szCs w:val="16"/>
      </w:rPr>
      <w:t xml:space="preserve">The Bridle Path Initiative CIC  |  enquiries@thebridlepath.co.uk  |  thebridlepath.co.uk  |  Kings Head House, 15 London End, Beaconsfield, HP9 2HN  |  Support Beyond the Gate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Borders>
            <w:top w:val="none" w:color="FFFFFF" w:sz="0"/>
            <w:left w:val="none" w:color="FFFFFF" w:sz="0"/>
            <w:bottom w:val="none" w:color="FFFFFF" w:sz="0"/>
            <w:right w:val="none" w:color="FFFFFF" w:sz="0"/>
          </w:tcBorders>
          <w:shd w:fill="2C5F2D" w:val="clear"/>
          <w:tcMar>
            <w:top w:type="dxa" w:w="160"/>
            <w:left w:type="dxa" w:w="280"/>
            <w:bottom w:type="dxa" w:w="160"/>
            <w:right w:type="dxa" w:w="280"/>
          </w:tcMar>
        </w:tcPr>
        <w:p>
          <w:r>
            <w:rPr>
              <w:rFonts w:ascii="Arial" w:cs="Arial" w:eastAsia="Arial" w:hAnsi="Arial"/>
              <w:b/>
              <w:bCs/>
              <w:color w:val="FFFFFF"/>
              <w:sz w:val="18"/>
              <w:szCs w:val="18"/>
            </w:rPr>
            <w:t xml:space="preserve">THE BRIDLE PATH INITIATIVE CIC  |  </w:t>
          </w:r>
          <w:r>
            <w:rPr>
              <w:rFonts w:ascii="Arial" w:cs="Arial" w:eastAsia="Arial" w:hAnsi="Arial"/>
              <w:color w:val="C4A35A"/>
              <w:sz w:val="18"/>
              <w:szCs w:val="18"/>
            </w:rPr>
            <w:t xml:space="preserve">POSITION STATEMENT  |  MAY 2026</w:t>
          </w:r>
          <w:r>
            <w:rPr>
              <w:rFonts w:ascii="Arial" w:cs="Arial" w:eastAsia="Arial" w:hAnsi="Arial"/>
              <w:color w:val="84B59F"/>
              <w:sz w:val="18"/>
              <w:szCs w:val="18"/>
            </w:rPr>
            <w:t xml:space="preserve">  |  thebridlepath.co.uk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2026-05-06T13:26:15.627Z</dcterms:created>
  <dcterms:modified xsi:type="dcterms:W3CDTF">2026-05-06T13:26:15.650Z</dcterms:modified>
</cp:coreProperties>
</file>

<file path=docProps/custom.xml><?xml version="1.0" encoding="utf-8"?>
<Properties xmlns="http://schemas.openxmlformats.org/officeDocument/2006/custom-properties" xmlns:vt="http://schemas.openxmlformats.org/officeDocument/2006/docPropsVTypes"/>
</file>