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40"/>
      </w:pPr>
      <w:r>
        <w:rPr>
          <w:rFonts w:ascii="Gotham" w:cs="Gotham" w:eastAsia="Gotham" w:hAnsi="Gotham"/>
          <w:color w:val="946FCD"/>
          <w:sz w:val="84"/>
          <w:szCs w:val="84"/>
        </w:rPr>
        <w:t xml:space="preserve">COMPLIANCE &amp; SAFEGUARDING LEAD</w:t>
      </w:r>
    </w:p>
    <w:p>
      <w:pPr>
        <w:pBdr>
          <w:bottom w:val="single" w:color="F4E064" w:sz="18" w:space="6"/>
        </w:pBdr>
        <w:spacing w:after="240"/>
      </w:pPr>
      <w:r>
        <w:rPr>
          <w:rFonts w:ascii="Gotham" w:cs="Gotham" w:eastAsia="Gotham" w:hAnsi="Gotham"/>
          <w:color w:val="B19CD7"/>
          <w:sz w:val="48"/>
          <w:szCs w:val="48"/>
        </w:rPr>
        <w:t xml:space="preserve">Volunteer Role Description</w:t>
      </w:r>
    </w:p>
    <w:p>
      <w:pPr>
        <w:pStyle w:val="Heading1"/>
        <w:pBdr>
          <w:bottom w:val="single" w:color="B19CD7" w:sz="6" w:space="4"/>
        </w:pBdr>
        <w:spacing w:after="160" w:before="360"/>
      </w:pPr>
      <w:r>
        <w:rPr>
          <w:rFonts w:ascii="Gotham" w:cs="Gotham" w:eastAsia="Gotham" w:hAnsi="Gotham"/>
          <w:color w:val="946FCD"/>
          <w:sz w:val="56"/>
          <w:szCs w:val="56"/>
        </w:rPr>
        <w:t xml:space="preserve">Role at a Glance</w:t>
      </w:r>
    </w:p>
    <w:tbl>
      <w:tblPr>
        <w:tblW w:type="dxa" w:w="9026"/>
        <w:tblBorders>
          <w:top w:val="single" w:color="946FCD" w:sz="4"/>
          <w:left w:val="single" w:color="946FCD" w:sz="4"/>
          <w:bottom w:val="single" w:color="946FCD" w:sz="4"/>
          <w:right w:val="single" w:color="946FCD" w:sz="4"/>
          <w:insideH w:val="single" w:color="BFBFBF" w:sz="4"/>
          <w:insideV w:val="single" w:color="BFBFBF" w:sz="4"/>
        </w:tblBorders>
      </w:tblPr>
      <w:tblGrid>
        <w:gridCol w:w="2800"/>
        <w:gridCol w:w="6226"/>
      </w:tblGrid>
      <w:tr>
        <w:trPr>
          <w:tblHeader/>
        </w:trPr>
        <w:tc>
          <w:tcPr>
            <w:tcW w:type="dxa" w:w="28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Field</w:t>
            </w:r>
          </w:p>
        </w:tc>
        <w:tc>
          <w:tcPr>
            <w:tcW w:type="dxa" w:w="6226"/>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Details</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Role Title</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&amp; Safeguarding Lead</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Team / Function</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&amp; Safeguarding</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Reports To</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Founder</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Time Commitment</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Approx. 2–3 hrs/week during setup (first 2–3 months); approx. 4–6 hrs/month ongoing</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Location</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Hybrid — mostly remote, with occasional in-person meetings across the region</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Contract Type</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Volunteer (unpaid)</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Expected Start</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As Soon As Possible</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Document Version</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v1.0 — October 2026</w:t>
            </w:r>
          </w:p>
        </w:tc>
      </w:tr>
    </w:tbl>
    <w:p>
      <w:pPr>
        <w:pStyle w:val="Heading1"/>
        <w:pBdr>
          <w:bottom w:val="single" w:color="B19CD7" w:sz="6" w:space="4"/>
        </w:pBdr>
        <w:spacing w:after="160" w:before="360"/>
      </w:pPr>
      <w:r>
        <w:rPr>
          <w:rFonts w:ascii="Gotham" w:cs="Gotham" w:eastAsia="Gotham" w:hAnsi="Gotham"/>
          <w:color w:val="946FCD"/>
          <w:sz w:val="56"/>
          <w:szCs w:val="56"/>
        </w:rPr>
        <w:t xml:space="preserve">About Endometriosis South Coast</w:t>
      </w:r>
    </w:p>
    <w:p>
      <w:pPr>
        <w:spacing w:after="160" w:line="300"/>
      </w:pPr>
      <w:r>
        <w:rPr>
          <w:rFonts w:ascii="Gotham" w:cs="Gotham" w:eastAsia="Gotham" w:hAnsi="Gotham"/>
          <w:sz w:val="32"/>
          <w:szCs w:val="32"/>
        </w:rPr>
        <w:t xml:space="preserve">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pPr>
        <w:spacing w:after="160" w:line="300"/>
      </w:pPr>
      <w:r>
        <w:rPr>
          <w:rFonts w:ascii="Gotham" w:cs="Gotham" w:eastAsia="Gotham" w:hAnsi="Gotham"/>
          <w:sz w:val="32"/>
          <w:szCs w:val="32"/>
        </w:rPr>
        <w:t xml:space="preserve">Our work is guided by four core commitments: spreading awareness of a debilitating and frequently overlooked condition; supporting and funding ongoing research; providing accessible education and peer support through our monthly community meetings; and fundraising to sustain and grow our services for the future.</w:t>
      </w:r>
    </w:p>
    <w:p>
      <w:pPr>
        <w:pStyle w:val="Heading1"/>
        <w:pBdr>
          <w:bottom w:val="single" w:color="B19CD7" w:sz="6" w:space="4"/>
        </w:pBdr>
        <w:spacing w:after="160" w:before="360"/>
      </w:pPr>
      <w:r>
        <w:rPr>
          <w:rFonts w:ascii="Gotham" w:cs="Gotham" w:eastAsia="Gotham" w:hAnsi="Gotham"/>
          <w:color w:val="946FCD"/>
          <w:sz w:val="56"/>
          <w:szCs w:val="56"/>
        </w:rPr>
        <w:t xml:space="preserve">Role Overview</w:t>
      </w:r>
    </w:p>
    <w:p>
      <w:pPr>
        <w:spacing w:after="160" w:line="300"/>
      </w:pPr>
      <w:r>
        <w:rPr>
          <w:rFonts w:ascii="Gotham" w:cs="Gotham" w:eastAsia="Gotham" w:hAnsi="Gotham"/>
          <w:sz w:val="32"/>
          <w:szCs w:val="32"/>
        </w:rPr>
        <w:t xml:space="preserve">Endometriosis South Coast supports people affected by endometriosis, a full-body systemic inflammatory disease, and adenomyosis. We run online and in-person support groups for people who may be living with pain and distress, deliver talks in schools and workplaces, work with a team of around 60 volunteers, and hold sensitive personal and health information. Until now, compliance and safeguarding have been held as separate roles, with no one coordinating them and several of those roles vacant.</w:t>
      </w:r>
    </w:p>
    <w:p>
      <w:pPr>
        <w:spacing w:after="160" w:line="300"/>
      </w:pPr>
      <w:r>
        <w:rPr>
          <w:rFonts w:ascii="Gotham" w:cs="Gotham" w:eastAsia="Gotham" w:hAnsi="Gotham"/>
          <w:sz w:val="32"/>
          <w:szCs w:val="32"/>
        </w:rPr>
        <w:t xml:space="preserve">The Compliance &amp; Safeguarding Lead brings this work together under one operational lead. You will oversee the specialist leads in the stream, make sure our policies, records and practice keep pace with the work we deliver, and give the Founder and the board a clear, regular picture of where we stand — so that every part of the stream has an owner and the board receives consistent assurance.</w:t>
      </w:r>
    </w:p>
    <w:p>
      <w:pPr>
        <w:spacing w:after="160" w:line="300"/>
      </w:pPr>
      <w:r>
        <w:rPr>
          <w:rFonts w:ascii="Gotham" w:cs="Gotham" w:eastAsia="Gotham" w:hAnsi="Gotham"/>
          <w:sz w:val="32"/>
          <w:szCs w:val="32"/>
        </w:rPr>
        <w:t xml:space="preserve">Ultimate responsibility for legal, regulatory and Charity Commission compliance sits with the Board of Trustees, as set out in the Scheme of Delegation. This role makes sure the organisation operates in a way that lets the board carry that responsibility with confidence. The role requires a DBS check at the level appropriate to the role, and ESC covers the cost.</w:t>
      </w:r>
    </w:p>
    <w:p>
      <w:pPr>
        <w:pStyle w:val="Heading1"/>
        <w:pBdr>
          <w:bottom w:val="single" w:color="B19CD7" w:sz="6" w:space="4"/>
        </w:pBdr>
        <w:spacing w:after="160" w:before="360"/>
      </w:pPr>
      <w:r>
        <w:rPr>
          <w:rFonts w:ascii="Gotham" w:cs="Gotham" w:eastAsia="Gotham" w:hAnsi="Gotham"/>
          <w:color w:val="946FCD"/>
          <w:sz w:val="56"/>
          <w:szCs w:val="56"/>
        </w:rPr>
        <w:t xml:space="preserve">Duties &amp; Responsibilities</w:t>
      </w:r>
    </w:p>
    <w:p>
      <w:pPr>
        <w:pStyle w:val="Heading2"/>
        <w:spacing w:after="120" w:before="240"/>
      </w:pPr>
      <w:r>
        <w:rPr>
          <w:rFonts w:ascii="Gotham" w:cs="Gotham" w:eastAsia="Gotham" w:hAnsi="Gotham"/>
          <w:color w:val="946FCD"/>
          <w:sz w:val="40"/>
          <w:szCs w:val="40"/>
        </w:rPr>
        <w:t xml:space="preserve">Leading the Stream</w:t>
      </w:r>
    </w:p>
    <w:p>
      <w:pPr>
        <w:pStyle w:val="ListParagraph"/>
        <w:numPr>
          <w:ilvl w:val="0"/>
          <w:numId w:val="2"/>
        </w:numPr>
        <w:spacing w:after="100" w:line="300"/>
      </w:pPr>
      <w:r>
        <w:rPr>
          <w:rFonts w:ascii="Gotham" w:cs="Gotham" w:eastAsia="Gotham" w:hAnsi="Gotham"/>
          <w:sz w:val="32"/>
          <w:szCs w:val="32"/>
        </w:rPr>
        <w:t xml:space="preserve">Line-manage and support the specialist leads in the stream, holding regular check-ins and making sure each area has the time and resources it needs.</w:t>
      </w:r>
    </w:p>
    <w:p>
      <w:pPr>
        <w:pStyle w:val="ListParagraph"/>
        <w:numPr>
          <w:ilvl w:val="0"/>
          <w:numId w:val="2"/>
        </w:numPr>
        <w:spacing w:after="100" w:line="300"/>
      </w:pPr>
      <w:r>
        <w:rPr>
          <w:rFonts w:ascii="Gotham" w:cs="Gotham" w:eastAsia="Gotham" w:hAnsi="Gotham"/>
          <w:sz w:val="32"/>
          <w:szCs w:val="32"/>
        </w:rPr>
        <w:t xml:space="preserve">Work with the Founder and the People &amp; Volunteers stream to recruit and induct people into the vacant specialist roles.</w:t>
      </w:r>
    </w:p>
    <w:p>
      <w:pPr>
        <w:pStyle w:val="ListParagraph"/>
        <w:numPr>
          <w:ilvl w:val="0"/>
          <w:numId w:val="2"/>
        </w:numPr>
        <w:spacing w:after="100" w:line="300"/>
      </w:pPr>
      <w:r>
        <w:rPr>
          <w:rFonts w:ascii="Gotham" w:cs="Gotham" w:eastAsia="Gotham" w:hAnsi="Gotham"/>
          <w:sz w:val="32"/>
          <w:szCs w:val="32"/>
        </w:rPr>
        <w:t xml:space="preserve">Keep a compliance calendar covering policy reviews, training, insurance, registrations and other renewal dates.</w:t>
      </w:r>
    </w:p>
    <w:p>
      <w:pPr>
        <w:pStyle w:val="Heading2"/>
        <w:spacing w:after="120" w:before="240"/>
      </w:pPr>
      <w:r>
        <w:rPr>
          <w:rFonts w:ascii="Gotham" w:cs="Gotham" w:eastAsia="Gotham" w:hAnsi="Gotham"/>
          <w:color w:val="946FCD"/>
          <w:sz w:val="40"/>
          <w:szCs w:val="40"/>
        </w:rPr>
        <w:t xml:space="preserve">Safeguarding</w:t>
      </w:r>
    </w:p>
    <w:p>
      <w:pPr>
        <w:pStyle w:val="ListParagraph"/>
        <w:numPr>
          <w:ilvl w:val="0"/>
          <w:numId w:val="2"/>
        </w:numPr>
        <w:spacing w:after="100" w:line="300"/>
      </w:pPr>
      <w:r>
        <w:rPr>
          <w:rFonts w:ascii="Gotham" w:cs="Gotham" w:eastAsia="Gotham" w:hAnsi="Gotham"/>
          <w:sz w:val="32"/>
          <w:szCs w:val="32"/>
        </w:rPr>
        <w:t xml:space="preserve">Make sure ESC’s safeguarding policy and procedures are current, understood and followed across all activities, including support groups, events, and school and workplace talks.</w:t>
      </w:r>
    </w:p>
    <w:p>
      <w:pPr>
        <w:pStyle w:val="ListParagraph"/>
        <w:numPr>
          <w:ilvl w:val="0"/>
          <w:numId w:val="2"/>
        </w:numPr>
        <w:spacing w:after="100" w:line="300"/>
      </w:pPr>
      <w:r>
        <w:rPr>
          <w:rFonts w:ascii="Gotham" w:cs="Gotham" w:eastAsia="Gotham" w:hAnsi="Gotham"/>
          <w:sz w:val="32"/>
          <w:szCs w:val="32"/>
        </w:rPr>
        <w:t xml:space="preserve">Make sure there is a clear, well-known route for raising a concern, and that every concern is recorded, acted on and followed up.</w:t>
      </w:r>
    </w:p>
    <w:p>
      <w:pPr>
        <w:pStyle w:val="ListParagraph"/>
        <w:numPr>
          <w:ilvl w:val="0"/>
          <w:numId w:val="2"/>
        </w:numPr>
        <w:spacing w:after="100" w:line="300"/>
      </w:pPr>
      <w:r>
        <w:rPr>
          <w:rFonts w:ascii="Gotham" w:cs="Gotham" w:eastAsia="Gotham" w:hAnsi="Gotham"/>
          <w:sz w:val="32"/>
          <w:szCs w:val="32"/>
        </w:rPr>
        <w:t xml:space="preserve">Oversee safeguarding training for volunteers and leads, at the level appropriate to each role.</w:t>
      </w:r>
    </w:p>
    <w:p>
      <w:pPr>
        <w:pStyle w:val="ListParagraph"/>
        <w:numPr>
          <w:ilvl w:val="0"/>
          <w:numId w:val="2"/>
        </w:numPr>
        <w:spacing w:after="100" w:line="300"/>
      </w:pPr>
      <w:r>
        <w:rPr>
          <w:rFonts w:ascii="Gotham" w:cs="Gotham" w:eastAsia="Gotham" w:hAnsi="Gotham"/>
          <w:sz w:val="32"/>
          <w:szCs w:val="32"/>
        </w:rPr>
        <w:t xml:space="preserve">Support the Safeguarding Lead, who makes specialist safeguarding judgements and referrals.</w:t>
      </w:r>
    </w:p>
    <w:p>
      <w:pPr>
        <w:pStyle w:val="ListParagraph"/>
        <w:numPr>
          <w:ilvl w:val="0"/>
          <w:numId w:val="2"/>
        </w:numPr>
        <w:spacing w:after="100" w:line="300"/>
      </w:pPr>
      <w:r>
        <w:rPr>
          <w:rFonts w:ascii="Gotham" w:cs="Gotham" w:eastAsia="Gotham" w:hAnsi="Gotham"/>
          <w:sz w:val="32"/>
          <w:szCs w:val="32"/>
        </w:rPr>
        <w:t xml:space="preserve">Make sure serious incidents are brought to the board promptly, so the board can decide whether a report to the Charity Commission is required.</w:t>
      </w:r>
    </w:p>
    <w:p>
      <w:pPr>
        <w:pStyle w:val="Heading2"/>
        <w:spacing w:after="120" w:before="240"/>
      </w:pPr>
      <w:r>
        <w:rPr>
          <w:rFonts w:ascii="Gotham" w:cs="Gotham" w:eastAsia="Gotham" w:hAnsi="Gotham"/>
          <w:color w:val="946FCD"/>
          <w:sz w:val="40"/>
          <w:szCs w:val="40"/>
        </w:rPr>
        <w:t xml:space="preserve">DBS Checks &amp; Safer Recruitment</w:t>
      </w:r>
    </w:p>
    <w:p>
      <w:pPr>
        <w:pStyle w:val="ListParagraph"/>
        <w:numPr>
          <w:ilvl w:val="0"/>
          <w:numId w:val="2"/>
        </w:numPr>
        <w:spacing w:after="100" w:line="300"/>
      </w:pPr>
      <w:r>
        <w:rPr>
          <w:rFonts w:ascii="Gotham" w:cs="Gotham" w:eastAsia="Gotham" w:hAnsi="Gotham"/>
          <w:sz w:val="32"/>
          <w:szCs w:val="32"/>
        </w:rPr>
        <w:t xml:space="preserve">Maintain a register of which roles require a DBS check and at what level, and track the status and renewal of each check.</w:t>
      </w:r>
    </w:p>
    <w:p>
      <w:pPr>
        <w:pStyle w:val="ListParagraph"/>
        <w:numPr>
          <w:ilvl w:val="0"/>
          <w:numId w:val="2"/>
        </w:numPr>
        <w:spacing w:after="100" w:line="300"/>
      </w:pPr>
      <w:r>
        <w:rPr>
          <w:rFonts w:ascii="Gotham" w:cs="Gotham" w:eastAsia="Gotham" w:hAnsi="Gotham"/>
          <w:sz w:val="32"/>
          <w:szCs w:val="32"/>
        </w:rPr>
        <w:t xml:space="preserve">Work with the People &amp; Volunteers stream to build safer recruitment into volunteer onboarding.</w:t>
      </w:r>
    </w:p>
    <w:p>
      <w:pPr>
        <w:pStyle w:val="Heading2"/>
        <w:spacing w:after="120" w:before="240"/>
      </w:pPr>
      <w:r>
        <w:rPr>
          <w:rFonts w:ascii="Gotham" w:cs="Gotham" w:eastAsia="Gotham" w:hAnsi="Gotham"/>
          <w:color w:val="946FCD"/>
          <w:sz w:val="40"/>
          <w:szCs w:val="40"/>
        </w:rPr>
        <w:t xml:space="preserve">Health &amp; Safety</w:t>
      </w:r>
    </w:p>
    <w:p>
      <w:pPr>
        <w:pStyle w:val="ListParagraph"/>
        <w:numPr>
          <w:ilvl w:val="0"/>
          <w:numId w:val="2"/>
        </w:numPr>
        <w:spacing w:after="100" w:line="300"/>
      </w:pPr>
      <w:r>
        <w:rPr>
          <w:rFonts w:ascii="Gotham" w:cs="Gotham" w:eastAsia="Gotham" w:hAnsi="Gotham"/>
          <w:sz w:val="32"/>
          <w:szCs w:val="32"/>
        </w:rPr>
        <w:t xml:space="preserve">Support the Health &amp; Safety Lead to maintain risk assessments for venues, events and activities.</w:t>
      </w:r>
    </w:p>
    <w:p>
      <w:pPr>
        <w:pStyle w:val="ListParagraph"/>
        <w:numPr>
          <w:ilvl w:val="0"/>
          <w:numId w:val="2"/>
        </w:numPr>
        <w:spacing w:after="100" w:line="300"/>
      </w:pPr>
      <w:r>
        <w:rPr>
          <w:rFonts w:ascii="Gotham" w:cs="Gotham" w:eastAsia="Gotham" w:hAnsi="Gotham"/>
          <w:sz w:val="32"/>
          <w:szCs w:val="32"/>
        </w:rPr>
        <w:t xml:space="preserve">Make sure accidents and incidents are logged and reviewed.</w:t>
      </w:r>
    </w:p>
    <w:p>
      <w:pPr>
        <w:pStyle w:val="Heading2"/>
        <w:spacing w:after="120" w:before="240"/>
      </w:pPr>
      <w:r>
        <w:rPr>
          <w:rFonts w:ascii="Gotham" w:cs="Gotham" w:eastAsia="Gotham" w:hAnsi="Gotham"/>
          <w:color w:val="946FCD"/>
          <w:sz w:val="40"/>
          <w:szCs w:val="40"/>
        </w:rPr>
        <w:t xml:space="preserve">Data Protection &amp; Information Governance</w:t>
      </w:r>
    </w:p>
    <w:p>
      <w:pPr>
        <w:pStyle w:val="ListParagraph"/>
        <w:numPr>
          <w:ilvl w:val="0"/>
          <w:numId w:val="2"/>
        </w:numPr>
        <w:spacing w:after="100" w:line="300"/>
      </w:pPr>
      <w:r>
        <w:rPr>
          <w:rFonts w:ascii="Gotham" w:cs="Gotham" w:eastAsia="Gotham" w:hAnsi="Gotham"/>
          <w:sz w:val="32"/>
          <w:szCs w:val="32"/>
        </w:rPr>
        <w:t xml:space="preserve">Oversee and report on ESC’s compliance with UK GDPR and the Data Protection Act 2018, with particular care for health information, which is special category data.</w:t>
      </w:r>
    </w:p>
    <w:p>
      <w:pPr>
        <w:pStyle w:val="ListParagraph"/>
        <w:numPr>
          <w:ilvl w:val="0"/>
          <w:numId w:val="2"/>
        </w:numPr>
        <w:spacing w:after="100" w:line="300"/>
      </w:pPr>
      <w:r>
        <w:rPr>
          <w:rFonts w:ascii="Gotham" w:cs="Gotham" w:eastAsia="Gotham" w:hAnsi="Gotham"/>
          <w:sz w:val="32"/>
          <w:szCs w:val="32"/>
        </w:rPr>
        <w:t xml:space="preserve">Support the Data Protection Lead, who maintains ESC’s data protection records day to day (the record of processing, retention schedule, subject access request log and breach log).</w:t>
      </w:r>
    </w:p>
    <w:p>
      <w:pPr>
        <w:pStyle w:val="ListParagraph"/>
        <w:numPr>
          <w:ilvl w:val="0"/>
          <w:numId w:val="2"/>
        </w:numPr>
        <w:spacing w:after="100" w:line="300"/>
      </w:pPr>
      <w:r>
        <w:rPr>
          <w:rFonts w:ascii="Gotham" w:cs="Gotham" w:eastAsia="Gotham" w:hAnsi="Gotham"/>
          <w:sz w:val="32"/>
          <w:szCs w:val="32"/>
        </w:rPr>
        <w:t xml:space="preserve">Make sure data protection policy updates from the Data Protection Lead are reviewed and, where required, taken to the board for approval.</w:t>
      </w:r>
    </w:p>
    <w:p>
      <w:pPr>
        <w:pStyle w:val="Heading2"/>
        <w:spacing w:after="120" w:before="240"/>
      </w:pPr>
      <w:r>
        <w:rPr>
          <w:rFonts w:ascii="Gotham" w:cs="Gotham" w:eastAsia="Gotham" w:hAnsi="Gotham"/>
          <w:color w:val="946FCD"/>
          <w:sz w:val="40"/>
          <w:szCs w:val="40"/>
        </w:rPr>
        <w:t xml:space="preserve">Legal &amp; Regulatory</w:t>
      </w:r>
    </w:p>
    <w:p>
      <w:pPr>
        <w:pStyle w:val="ListParagraph"/>
        <w:numPr>
          <w:ilvl w:val="0"/>
          <w:numId w:val="2"/>
        </w:numPr>
        <w:spacing w:after="100" w:line="300"/>
      </w:pPr>
      <w:r>
        <w:rPr>
          <w:rFonts w:ascii="Gotham" w:cs="Gotham" w:eastAsia="Gotham" w:hAnsi="Gotham"/>
          <w:sz w:val="32"/>
          <w:szCs w:val="32"/>
        </w:rPr>
        <w:t xml:space="preserve">Maintain the policy register, making sure every policy has an owner, a review date and board approval where the Scheme of Delegation requires it.</w:t>
      </w:r>
    </w:p>
    <w:p>
      <w:pPr>
        <w:pStyle w:val="ListParagraph"/>
        <w:numPr>
          <w:ilvl w:val="0"/>
          <w:numId w:val="2"/>
        </w:numPr>
        <w:spacing w:after="100" w:line="300"/>
      </w:pPr>
      <w:r>
        <w:rPr>
          <w:rFonts w:ascii="Gotham" w:cs="Gotham" w:eastAsia="Gotham" w:hAnsi="Gotham"/>
          <w:sz w:val="32"/>
          <w:szCs w:val="32"/>
        </w:rPr>
        <w:t xml:space="preserve">Track regulatory obligations (including Charity Commission, ICO registration and insurance) and flag upcoming requirements to the Founder in good time.</w:t>
      </w:r>
    </w:p>
    <w:p>
      <w:pPr>
        <w:pStyle w:val="ListParagraph"/>
        <w:numPr>
          <w:ilvl w:val="0"/>
          <w:numId w:val="2"/>
        </w:numPr>
        <w:spacing w:after="100" w:line="300"/>
      </w:pPr>
      <w:r>
        <w:rPr>
          <w:rFonts w:ascii="Gotham" w:cs="Gotham" w:eastAsia="Gotham" w:hAnsi="Gotham"/>
          <w:sz w:val="32"/>
          <w:szCs w:val="32"/>
        </w:rPr>
        <w:t xml:space="preserve">Coordinate access to legal advice, including pro bono support, through the Legal Lead.</w:t>
      </w:r>
    </w:p>
    <w:p>
      <w:pPr>
        <w:pStyle w:val="ListParagraph"/>
        <w:numPr>
          <w:ilvl w:val="0"/>
          <w:numId w:val="2"/>
        </w:numPr>
        <w:spacing w:after="100" w:line="300"/>
      </w:pPr>
      <w:r>
        <w:rPr>
          <w:rFonts w:ascii="Gotham" w:cs="Gotham" w:eastAsia="Gotham" w:hAnsi="Gotham"/>
          <w:sz w:val="32"/>
          <w:szCs w:val="32"/>
        </w:rPr>
        <w:t xml:space="preserve">Keep policies and records funder-ready, so due diligence requests can be answered quickly.</w:t>
      </w:r>
    </w:p>
    <w:p>
      <w:pPr>
        <w:pStyle w:val="Heading2"/>
        <w:spacing w:after="120" w:before="240"/>
      </w:pPr>
      <w:r>
        <w:rPr>
          <w:rFonts w:ascii="Gotham" w:cs="Gotham" w:eastAsia="Gotham" w:hAnsi="Gotham"/>
          <w:color w:val="946FCD"/>
          <w:sz w:val="40"/>
          <w:szCs w:val="40"/>
        </w:rPr>
        <w:t xml:space="preserve">Reporting &amp; Assurance</w:t>
      </w:r>
    </w:p>
    <w:p>
      <w:pPr>
        <w:pStyle w:val="ListParagraph"/>
        <w:numPr>
          <w:ilvl w:val="0"/>
          <w:numId w:val="2"/>
        </w:numPr>
        <w:spacing w:after="100" w:line="300"/>
      </w:pPr>
      <w:r>
        <w:rPr>
          <w:rFonts w:ascii="Gotham" w:cs="Gotham" w:eastAsia="Gotham" w:hAnsi="Gotham"/>
          <w:sz w:val="32"/>
          <w:szCs w:val="32"/>
        </w:rPr>
        <w:t xml:space="preserve">Provide a compliance and safeguarding section for the Founder’s quarterly report to the board, covering incidents, training, DBS status, policy reviews and emerging risks.</w:t>
      </w:r>
    </w:p>
    <w:p>
      <w:pPr>
        <w:pStyle w:val="ListParagraph"/>
        <w:numPr>
          <w:ilvl w:val="0"/>
          <w:numId w:val="2"/>
        </w:numPr>
        <w:spacing w:after="100" w:line="300"/>
      </w:pPr>
      <w:r>
        <w:rPr>
          <w:rFonts w:ascii="Gotham" w:cs="Gotham" w:eastAsia="Gotham" w:hAnsi="Gotham"/>
          <w:sz w:val="32"/>
          <w:szCs w:val="32"/>
        </w:rPr>
        <w:t xml:space="preserve">Contribute to ESC’s risk register.</w:t>
      </w:r>
    </w:p>
    <w:p>
      <w:pPr>
        <w:pStyle w:val="ListParagraph"/>
        <w:numPr>
          <w:ilvl w:val="0"/>
          <w:numId w:val="2"/>
        </w:numPr>
        <w:spacing w:after="100" w:line="300"/>
      </w:pPr>
      <w:r>
        <w:rPr>
          <w:rFonts w:ascii="Gotham" w:cs="Gotham" w:eastAsia="Gotham" w:hAnsi="Gotham"/>
          <w:sz w:val="32"/>
          <w:szCs w:val="32"/>
        </w:rPr>
        <w:t xml:space="preserve">Act as the operational point of contact for the Secretary trustee.</w:t>
      </w:r>
    </w:p>
    <w:p>
      <w:pPr>
        <w:pStyle w:val="Heading2"/>
        <w:spacing w:after="120" w:before="240"/>
      </w:pPr>
      <w:r>
        <w:rPr>
          <w:rFonts w:ascii="Gotham" w:cs="Gotham" w:eastAsia="Gotham" w:hAnsi="Gotham"/>
          <w:color w:val="946FCD"/>
          <w:sz w:val="40"/>
          <w:szCs w:val="40"/>
        </w:rPr>
        <w:t xml:space="preserve">General</w:t>
      </w:r>
    </w:p>
    <w:p>
      <w:pPr>
        <w:pStyle w:val="ListParagraph"/>
        <w:numPr>
          <w:ilvl w:val="0"/>
          <w:numId w:val="2"/>
        </w:numPr>
        <w:spacing w:after="100" w:line="300"/>
      </w:pPr>
      <w:r>
        <w:rPr>
          <w:rFonts w:ascii="Gotham" w:cs="Gotham" w:eastAsia="Gotham" w:hAnsi="Gotham"/>
          <w:sz w:val="32"/>
          <w:szCs w:val="32"/>
        </w:rPr>
        <w:t xml:space="preserve">Complete all work to a high professional standard and in line with ESC’s policies and procedures.</w:t>
      </w:r>
    </w:p>
    <w:p>
      <w:pPr>
        <w:pStyle w:val="ListParagraph"/>
        <w:numPr>
          <w:ilvl w:val="0"/>
          <w:numId w:val="2"/>
        </w:numPr>
        <w:spacing w:after="100" w:line="300"/>
      </w:pPr>
      <w:r>
        <w:rPr>
          <w:rFonts w:ascii="Gotham" w:cs="Gotham" w:eastAsia="Gotham" w:hAnsi="Gotham"/>
          <w:sz w:val="32"/>
          <w:szCs w:val="32"/>
        </w:rPr>
        <w:t xml:space="preserve">Handle all personal data and sensitive information with the utmost care and in full compliance with GDPR.</w:t>
      </w:r>
    </w:p>
    <w:p>
      <w:pPr>
        <w:pStyle w:val="ListParagraph"/>
        <w:numPr>
          <w:ilvl w:val="0"/>
          <w:numId w:val="2"/>
        </w:numPr>
        <w:spacing w:after="100" w:line="300"/>
      </w:pPr>
      <w:r>
        <w:rPr>
          <w:rFonts w:ascii="Gotham" w:cs="Gotham" w:eastAsia="Gotham" w:hAnsi="Gotham"/>
          <w:sz w:val="32"/>
          <w:szCs w:val="32"/>
        </w:rPr>
        <w:t xml:space="preserve">Carry out any other reasonable duties as the role develops and as may be requested.</w:t>
      </w:r>
    </w:p>
    <w:p>
      <w:pPr>
        <w:pStyle w:val="Heading1"/>
        <w:pBdr>
          <w:bottom w:val="single" w:color="B19CD7" w:sz="6" w:space="4"/>
        </w:pBdr>
        <w:spacing w:after="160" w:before="360"/>
      </w:pPr>
      <w:r>
        <w:rPr>
          <w:rFonts w:ascii="Gotham" w:cs="Gotham" w:eastAsia="Gotham" w:hAnsi="Gotham"/>
          <w:color w:val="946FCD"/>
          <w:sz w:val="56"/>
          <w:szCs w:val="56"/>
        </w:rPr>
        <w:t xml:space="preserve">Key Outputs</w:t>
      </w:r>
    </w:p>
    <w:tbl>
      <w:tblPr>
        <w:tblW w:type="dxa" w:w="9026"/>
        <w:tblBorders>
          <w:top w:val="single" w:color="946FCD" w:sz="4"/>
          <w:left w:val="single" w:color="946FCD" w:sz="4"/>
          <w:bottom w:val="single" w:color="946FCD" w:sz="4"/>
          <w:right w:val="single" w:color="946FCD" w:sz="4"/>
          <w:insideH w:val="single" w:color="BFBFBF" w:sz="4"/>
          <w:insideV w:val="single" w:color="BFBFBF" w:sz="4"/>
        </w:tblBorders>
      </w:tblPr>
      <w:tblGrid>
        <w:gridCol w:w="1600"/>
        <w:gridCol w:w="4826"/>
        <w:gridCol w:w="2600"/>
      </w:tblGrid>
      <w:tr>
        <w:trPr>
          <w:tblHeader/>
        </w:trPr>
        <w:tc>
          <w:tcPr>
            <w:tcW w:type="dxa" w:w="16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Phase</w:t>
            </w:r>
          </w:p>
        </w:tc>
        <w:tc>
          <w:tcPr>
            <w:tcW w:type="dxa" w:w="4826"/>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Deliverable / Output</w:t>
            </w:r>
          </w:p>
        </w:tc>
        <w:tc>
          <w:tcPr>
            <w:tcW w:type="dxa" w:w="26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Target Timeframe</w:t>
            </w:r>
          </w:p>
        </w:tc>
      </w:tr>
      <w:tr>
        <w:trPr>
          <w:tblHeader w:val="false"/>
        </w:trPr>
        <w:tc>
          <w:tcPr>
            <w:tcW w:type="dxa" w:w="1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Setup</w:t>
            </w:r>
          </w:p>
        </w:tc>
        <w:tc>
          <w:tcPr>
            <w:tcW w:type="dxa" w:w="48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calendar in place, covering policy reviews, training, insurance, registrations and renewals</w:t>
            </w:r>
          </w:p>
        </w:tc>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Within 1 month</w:t>
            </w:r>
          </w:p>
        </w:tc>
      </w:tr>
      <w:tr>
        <w:trPr>
          <w:tblHeader w:val="false"/>
        </w:trPr>
        <w:tc>
          <w:tcPr>
            <w:tcW w:type="dxa" w:w="1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Setup</w:t>
            </w:r>
          </w:p>
        </w:tc>
        <w:tc>
          <w:tcPr>
            <w:tcW w:type="dxa" w:w="48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DBS register and policy register established and up to date</w:t>
            </w:r>
          </w:p>
        </w:tc>
        <w:tc>
          <w:tcPr>
            <w:tcW w:type="dxa" w:w="2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Within 3 months</w:t>
            </w:r>
          </w:p>
        </w:tc>
      </w:tr>
      <w:tr>
        <w:trPr>
          <w:tblHeader w:val="false"/>
        </w:trPr>
        <w:tc>
          <w:tcPr>
            <w:tcW w:type="dxa" w:w="1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Setup</w:t>
            </w:r>
          </w:p>
        </w:tc>
        <w:tc>
          <w:tcPr>
            <w:tcW w:type="dxa" w:w="48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Plan agreed with the Founder and People &amp; Volunteers stream to fill the vacant specialist roles</w:t>
            </w:r>
          </w:p>
        </w:tc>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Within 3 months</w:t>
            </w:r>
          </w:p>
        </w:tc>
      </w:tr>
      <w:tr>
        <w:trPr>
          <w:tblHeader w:val="false"/>
        </w:trPr>
        <w:tc>
          <w:tcPr>
            <w:tcW w:type="dxa" w:w="1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Ongoing</w:t>
            </w:r>
          </w:p>
        </w:tc>
        <w:tc>
          <w:tcPr>
            <w:tcW w:type="dxa" w:w="48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Check-ins held with each specialist lead</w:t>
            </w:r>
          </w:p>
        </w:tc>
        <w:tc>
          <w:tcPr>
            <w:tcW w:type="dxa" w:w="2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Monthly</w:t>
            </w:r>
          </w:p>
        </w:tc>
      </w:tr>
      <w:tr>
        <w:trPr>
          <w:tblHeader w:val="false"/>
        </w:trPr>
        <w:tc>
          <w:tcPr>
            <w:tcW w:type="dxa" w:w="1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Ongoing</w:t>
            </w:r>
          </w:p>
        </w:tc>
        <w:tc>
          <w:tcPr>
            <w:tcW w:type="dxa" w:w="48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and safeguarding section of the Founder’s board report</w:t>
            </w:r>
          </w:p>
        </w:tc>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Quarterly</w:t>
            </w:r>
          </w:p>
        </w:tc>
      </w:tr>
      <w:tr>
        <w:trPr>
          <w:tblHeader w:val="false"/>
        </w:trPr>
        <w:tc>
          <w:tcPr>
            <w:tcW w:type="dxa" w:w="1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Ongoing</w:t>
            </w:r>
          </w:p>
        </w:tc>
        <w:tc>
          <w:tcPr>
            <w:tcW w:type="dxa" w:w="48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and safeguarding risks reviewed on the risk register</w:t>
            </w:r>
          </w:p>
        </w:tc>
        <w:tc>
          <w:tcPr>
            <w:tcW w:type="dxa" w:w="2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Quarterly</w:t>
            </w:r>
          </w:p>
        </w:tc>
      </w:tr>
      <w:tr>
        <w:trPr>
          <w:tblHeader w:val="false"/>
        </w:trPr>
        <w:tc>
          <w:tcPr>
            <w:tcW w:type="dxa" w:w="1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Ad hoc</w:t>
            </w:r>
          </w:p>
        </w:tc>
        <w:tc>
          <w:tcPr>
            <w:tcW w:type="dxa" w:w="48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Serious incidents brought to the board</w:t>
            </w:r>
          </w:p>
        </w:tc>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Promptly, as they arise</w:t>
            </w:r>
          </w:p>
        </w:tc>
      </w:tr>
    </w:tbl>
    <w:p>
      <w:pPr>
        <w:pStyle w:val="Heading1"/>
        <w:pBdr>
          <w:bottom w:val="single" w:color="B19CD7" w:sz="6" w:space="4"/>
        </w:pBdr>
        <w:spacing w:after="160" w:before="360"/>
      </w:pPr>
      <w:r>
        <w:rPr>
          <w:rFonts w:ascii="Gotham" w:cs="Gotham" w:eastAsia="Gotham" w:hAnsi="Gotham"/>
          <w:color w:val="946FCD"/>
          <w:sz w:val="56"/>
          <w:szCs w:val="56"/>
        </w:rPr>
        <w:t xml:space="preserve">Accountability</w:t>
      </w:r>
    </w:p>
    <w:tbl>
      <w:tblPr>
        <w:tblW w:type="dxa" w:w="9026"/>
        <w:tblBorders>
          <w:top w:val="single" w:color="946FCD" w:sz="4"/>
          <w:left w:val="single" w:color="946FCD" w:sz="4"/>
          <w:bottom w:val="single" w:color="946FCD" w:sz="4"/>
          <w:right w:val="single" w:color="946FCD" w:sz="4"/>
          <w:insideH w:val="single" w:color="BFBFBF" w:sz="4"/>
          <w:insideV w:val="single" w:color="BFBFBF" w:sz="4"/>
        </w:tblBorders>
      </w:tblPr>
      <w:tblGrid>
        <w:gridCol w:w="2800"/>
        <w:gridCol w:w="6226"/>
      </w:tblGrid>
      <w:tr>
        <w:trPr>
          <w:tblHeader/>
        </w:trPr>
        <w:tc>
          <w:tcPr>
            <w:tcW w:type="dxa" w:w="28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Area</w:t>
            </w:r>
          </w:p>
        </w:tc>
        <w:tc>
          <w:tcPr>
            <w:tcW w:type="dxa" w:w="6226"/>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Detail</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Directly accountable to</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Founder</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Day-to-day contact</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Founder, for operational decisions and escalation</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Works closely with</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Safeguarding Lead, Safeguarding Volunteer, Health &amp; Safety Lead, Legal Lead and Data Protection Lead; People &amp; Volunteers stream; SharePoint Administrator; Community &amp; Participation stream (support group leads); Secretary trustee for board-level oversight (an interim trustee lead until the seat is filled)</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External relationships</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Legal advisers, including pro bono support, coordinated through the Legal Lead; funders requesting due diligence information</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Escalation path</w:t>
            </w:r>
          </w:p>
        </w:tc>
        <w:tc>
          <w:tcPr>
            <w:tcW w:type="dxa" w:w="6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Operational issues go to the Founder. Serious incidents are brought to the board promptly. Where a safeguarding concern involves the Founder, it is escalated directly to the trustee named by the board as safeguarding lead, not through the Founder.</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Decision-making authority</w:t>
            </w:r>
          </w:p>
        </w:tc>
        <w:tc>
          <w:tcPr>
            <w:tcW w:type="dxa" w:w="6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Coordinates and assures the stream, but does not replace the specialist judgement of the Safeguarding Lead. Prepares and maintains policies but does not approve them: policies reserved to the board under the Scheme of Delegation are approved by the board. This is an operational volunteer role, not a trustee role, and does not hold ultimate legal or regulatory responsibility, which remains with the Board of Trustees.</w:t>
            </w:r>
          </w:p>
        </w:tc>
      </w:tr>
    </w:tbl>
    <w:p>
      <w:pPr>
        <w:pStyle w:val="Heading1"/>
        <w:pBdr>
          <w:bottom w:val="single" w:color="B19CD7" w:sz="6" w:space="4"/>
        </w:pBdr>
        <w:spacing w:after="160" w:before="360"/>
      </w:pPr>
      <w:r>
        <w:rPr>
          <w:rFonts w:ascii="Gotham" w:cs="Gotham" w:eastAsia="Gotham" w:hAnsi="Gotham"/>
          <w:color w:val="946FCD"/>
          <w:sz w:val="56"/>
          <w:szCs w:val="56"/>
        </w:rPr>
        <w:t xml:space="preserve">Document &amp; Asset Ownership</w:t>
      </w:r>
    </w:p>
    <w:tbl>
      <w:tblPr>
        <w:tblW w:type="dxa" w:w="9026"/>
        <w:tblBorders>
          <w:top w:val="single" w:color="946FCD" w:sz="4"/>
          <w:left w:val="single" w:color="946FCD" w:sz="4"/>
          <w:bottom w:val="single" w:color="946FCD" w:sz="4"/>
          <w:right w:val="single" w:color="946FCD" w:sz="4"/>
          <w:insideH w:val="single" w:color="BFBFBF" w:sz="4"/>
          <w:insideV w:val="single" w:color="BFBFBF" w:sz="4"/>
        </w:tblBorders>
      </w:tblPr>
      <w:tblGrid>
        <w:gridCol w:w="2600"/>
        <w:gridCol w:w="4226"/>
        <w:gridCol w:w="2200"/>
      </w:tblGrid>
      <w:tr>
        <w:trPr>
          <w:tblHeader/>
        </w:trPr>
        <w:tc>
          <w:tcPr>
            <w:tcW w:type="dxa" w:w="26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Document / Asset</w:t>
            </w:r>
          </w:p>
        </w:tc>
        <w:tc>
          <w:tcPr>
            <w:tcW w:type="dxa" w:w="4226"/>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Description</w:t>
            </w:r>
          </w:p>
        </w:tc>
        <w:tc>
          <w:tcPr>
            <w:tcW w:type="dxa" w:w="22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Storage Location</w:t>
            </w:r>
          </w:p>
        </w:tc>
      </w:tr>
      <w:tr>
        <w:trPr>
          <w:tblHeader w:val="false"/>
        </w:trPr>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Calendar</w:t>
            </w:r>
          </w:p>
        </w:tc>
        <w:tc>
          <w:tcPr>
            <w:tcW w:type="dxa" w:w="4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Dates for policy reviews, training, insurance, registrations and other renewals</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ESC SharePoint</w:t>
            </w:r>
          </w:p>
        </w:tc>
      </w:tr>
      <w:tr>
        <w:trPr>
          <w:tblHeader w:val="false"/>
        </w:trPr>
        <w:tc>
          <w:tcPr>
            <w:tcW w:type="dxa" w:w="2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DBS Register</w:t>
            </w:r>
          </w:p>
        </w:tc>
        <w:tc>
          <w:tcPr>
            <w:tcW w:type="dxa" w:w="4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Which roles need a DBS check, at what level, and the status and renewal date of each check</w:t>
            </w:r>
          </w:p>
        </w:tc>
        <w:tc>
          <w:tcPr>
            <w:tcW w:type="dxa" w:w="22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ESC SharePoint</w:t>
            </w:r>
          </w:p>
        </w:tc>
      </w:tr>
      <w:tr>
        <w:trPr>
          <w:tblHeader w:val="false"/>
        </w:trPr>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Policy Register</w:t>
            </w:r>
          </w:p>
        </w:tc>
        <w:tc>
          <w:tcPr>
            <w:tcW w:type="dxa" w:w="4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Every ESC policy with its owner, review date and approval status</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ESC SharePoint</w:t>
            </w:r>
          </w:p>
        </w:tc>
      </w:tr>
      <w:tr>
        <w:trPr>
          <w:tblHeader w:val="false"/>
        </w:trPr>
        <w:tc>
          <w:tcPr>
            <w:tcW w:type="dxa" w:w="26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Regulatory Obligations Tracker</w:t>
            </w:r>
          </w:p>
        </w:tc>
        <w:tc>
          <w:tcPr>
            <w:tcW w:type="dxa" w:w="42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Charity Commission, ICO registration, insurance and other regulatory requirements and deadlines</w:t>
            </w:r>
          </w:p>
        </w:tc>
        <w:tc>
          <w:tcPr>
            <w:tcW w:type="dxa" w:w="22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ESC SharePoint</w:t>
            </w:r>
          </w:p>
        </w:tc>
      </w:tr>
      <w:tr>
        <w:trPr>
          <w:tblHeader w:val="false"/>
        </w:trPr>
        <w:tc>
          <w:tcPr>
            <w:tcW w:type="dxa" w:w="26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Quarterly Board Report Section</w:t>
            </w:r>
          </w:p>
        </w:tc>
        <w:tc>
          <w:tcPr>
            <w:tcW w:type="dxa" w:w="42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and safeguarding updates on incidents, training, DBS status, policy reviews and emerging risks</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ESC SharePoint</w:t>
            </w:r>
          </w:p>
        </w:tc>
      </w:tr>
    </w:tbl>
    <w:p>
      <w:pPr>
        <w:spacing w:after="120"/>
      </w:pPr>
    </w:p>
    <w:p>
      <w:pPr>
        <w:spacing w:after="160" w:line="300"/>
      </w:pPr>
      <w:r>
        <w:rPr>
          <w:rFonts w:ascii="Gotham" w:cs="Gotham" w:eastAsia="Gotham" w:hAnsi="Gotham"/>
          <w:sz w:val="32"/>
          <w:szCs w:val="32"/>
        </w:rPr>
        <w:t xml:space="preserve">On leaving the role, the volunteer must ensure all documents and assets are fully up to date, clearly labelled, and accompanied by a brief handover note to support their successor.</w:t>
      </w:r>
    </w:p>
    <w:p>
      <w:pPr>
        <w:pStyle w:val="Heading1"/>
        <w:pBdr>
          <w:bottom w:val="single" w:color="B19CD7" w:sz="6" w:space="4"/>
        </w:pBdr>
        <w:spacing w:after="160" w:before="360"/>
      </w:pPr>
      <w:r>
        <w:rPr>
          <w:rFonts w:ascii="Gotham" w:cs="Gotham" w:eastAsia="Gotham" w:hAnsi="Gotham"/>
          <w:color w:val="946FCD"/>
          <w:sz w:val="56"/>
          <w:szCs w:val="56"/>
        </w:rPr>
        <w:t xml:space="preserve">Working With the Team</w:t>
      </w:r>
    </w:p>
    <w:p>
      <w:pPr>
        <w:spacing w:after="160" w:line="300"/>
      </w:pPr>
      <w:r>
        <w:rPr>
          <w:rFonts w:ascii="Gotham" w:cs="Gotham" w:eastAsia="Gotham" w:hAnsi="Gotham"/>
          <w:sz w:val="32"/>
          <w:szCs w:val="32"/>
        </w:rPr>
        <w:t xml:space="preserve">You will lead the Compliance &amp; Safeguarding stream, working closely with the Founder as your line manager and with the Secretary trustee as the board’s link to the stream. Several of the specialist roles are currently vacant, so part of your early work will be helping to recruit and induct people into them. You will also work regularly with the People &amp; Volunteers stream on safer recruitment and training, the SharePoint Administrator on secure storage, and support group leads, as the area where safeguarding matters most often arise.</w:t>
      </w:r>
    </w:p>
    <w:p>
      <w:pPr>
        <w:spacing w:after="160" w:line="300"/>
      </w:pPr>
      <w:r>
        <w:rPr>
          <w:rFonts w:ascii="Gotham" w:cs="Gotham" w:eastAsia="Gotham" w:hAnsi="Gotham"/>
          <w:sz w:val="32"/>
          <w:szCs w:val="32"/>
        </w:rPr>
        <w:t xml:space="preserve">The stream is currently made up of the following roles:</w:t>
      </w:r>
    </w:p>
    <w:tbl>
      <w:tblPr>
        <w:tblW w:type="dxa" w:w="9026"/>
        <w:tblBorders>
          <w:top w:val="single" w:color="946FCD" w:sz="4"/>
          <w:left w:val="single" w:color="946FCD" w:sz="4"/>
          <w:bottom w:val="single" w:color="946FCD" w:sz="4"/>
          <w:right w:val="single" w:color="946FCD" w:sz="4"/>
          <w:insideH w:val="single" w:color="BFBFBF" w:sz="4"/>
          <w:insideV w:val="single" w:color="BFBFBF" w:sz="4"/>
        </w:tblBorders>
      </w:tblPr>
      <w:tblGrid>
        <w:gridCol w:w="2800"/>
        <w:gridCol w:w="4026"/>
        <w:gridCol w:w="2200"/>
      </w:tblGrid>
      <w:tr>
        <w:trPr>
          <w:tblHeader/>
        </w:trPr>
        <w:tc>
          <w:tcPr>
            <w:tcW w:type="dxa" w:w="28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Role</w:t>
            </w:r>
          </w:p>
        </w:tc>
        <w:tc>
          <w:tcPr>
            <w:tcW w:type="dxa" w:w="4026"/>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What it covers</w:t>
            </w:r>
          </w:p>
        </w:tc>
        <w:tc>
          <w:tcPr>
            <w:tcW w:type="dxa" w:w="2200"/>
            <w:shd w:fill="F4E064" w:color="auto" w:val="clear"/>
            <w:tcMar>
              <w:top w:type="dxa" w:w="80"/>
              <w:left w:type="dxa" w:w="120"/>
              <w:bottom w:type="dxa" w:w="80"/>
              <w:right w:type="dxa" w:w="120"/>
            </w:tcMar>
          </w:tcPr>
          <w:p>
            <w:r>
              <w:rPr>
                <w:rFonts w:ascii="Gotham" w:cs="Gotham" w:eastAsia="Gotham" w:hAnsi="Gotham"/>
                <w:b/>
                <w:bCs/>
                <w:color w:val="946FCD"/>
                <w:sz w:val="28"/>
                <w:szCs w:val="28"/>
              </w:rPr>
              <w:t xml:space="preserve">Status</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Compliance &amp; Safeguarding Lead</w:t>
            </w:r>
          </w:p>
        </w:tc>
        <w:tc>
          <w:tcPr>
            <w:tcW w:type="dxa" w:w="40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Oversight and coordination of the whole stream</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Vacant (this role)</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Safeguarding Lead</w:t>
            </w:r>
          </w:p>
        </w:tc>
        <w:tc>
          <w:tcPr>
            <w:tcW w:type="dxa" w:w="40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Specialist safeguarding judgement, advice and referrals</w:t>
            </w:r>
          </w:p>
        </w:tc>
        <w:tc>
          <w:tcPr>
            <w:tcW w:type="dxa" w:w="22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Vacant</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Safeguarding Volunteer</w:t>
            </w:r>
          </w:p>
        </w:tc>
        <w:tc>
          <w:tcPr>
            <w:tcW w:type="dxa" w:w="40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Supporting safeguarding procedures and records</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In post</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Health &amp; Safety Lead</w:t>
            </w:r>
          </w:p>
        </w:tc>
        <w:tc>
          <w:tcPr>
            <w:tcW w:type="dxa" w:w="40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Risk assessments, venue and event safety</w:t>
            </w:r>
          </w:p>
        </w:tc>
        <w:tc>
          <w:tcPr>
            <w:tcW w:type="dxa" w:w="22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In post</w:t>
            </w:r>
          </w:p>
        </w:tc>
      </w:tr>
      <w:tr>
        <w:trPr>
          <w:tblHeader w:val="false"/>
        </w:trPr>
        <w:tc>
          <w:tcPr>
            <w:tcW w:type="dxa" w:w="28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Legal Lead</w:t>
            </w:r>
          </w:p>
        </w:tc>
        <w:tc>
          <w:tcPr>
            <w:tcW w:type="dxa" w:w="4026"/>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Coordinating legal advice and regulatory matters</w:t>
            </w:r>
          </w:p>
        </w:tc>
        <w:tc>
          <w:tcPr>
            <w:tcW w:type="dxa" w:w="2200"/>
            <w:shd w:fill="F7F2A6" w:color="auto" w:val="clear"/>
            <w:tcMar>
              <w:top w:type="dxa" w:w="80"/>
              <w:left w:type="dxa" w:w="120"/>
              <w:bottom w:type="dxa" w:w="80"/>
              <w:right w:type="dxa" w:w="120"/>
            </w:tcMar>
          </w:tcPr>
          <w:p>
            <w:r>
              <w:rPr>
                <w:rFonts w:ascii="Gotham" w:cs="Gotham" w:eastAsia="Gotham" w:hAnsi="Gotham"/>
                <w:b w:val="false"/>
                <w:bCs w:val="false"/>
                <w:sz w:val="28"/>
                <w:szCs w:val="28"/>
              </w:rPr>
              <w:t xml:space="preserve">Vacant</w:t>
            </w:r>
          </w:p>
        </w:tc>
      </w:tr>
      <w:tr>
        <w:trPr>
          <w:tblHeader w:val="false"/>
        </w:trPr>
        <w:tc>
          <w:tcPr>
            <w:tcW w:type="dxa" w:w="28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Data Protection Lead</w:t>
            </w:r>
          </w:p>
        </w:tc>
        <w:tc>
          <w:tcPr>
            <w:tcW w:type="dxa" w:w="4026"/>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Day-to-day data protection practice</w:t>
            </w:r>
          </w:p>
        </w:tc>
        <w:tc>
          <w:tcPr>
            <w:tcW w:type="dxa" w:w="2200"/>
            <w:shd w:fill="FFFFFF" w:color="auto" w:val="clear"/>
            <w:tcMar>
              <w:top w:type="dxa" w:w="80"/>
              <w:left w:type="dxa" w:w="120"/>
              <w:bottom w:type="dxa" w:w="80"/>
              <w:right w:type="dxa" w:w="120"/>
            </w:tcMar>
          </w:tcPr>
          <w:p>
            <w:r>
              <w:rPr>
                <w:rFonts w:ascii="Gotham" w:cs="Gotham" w:eastAsia="Gotham" w:hAnsi="Gotham"/>
                <w:b w:val="false"/>
                <w:bCs w:val="false"/>
                <w:sz w:val="28"/>
                <w:szCs w:val="28"/>
              </w:rPr>
              <w:t xml:space="preserve">To be created</w:t>
            </w:r>
          </w:p>
        </w:tc>
      </w:tr>
    </w:tbl>
    <w:p>
      <w:pPr>
        <w:spacing w:after="120"/>
      </w:pPr>
    </w:p>
    <w:p>
      <w:pPr>
        <w:spacing w:after="160" w:line="300"/>
      </w:pPr>
      <w:r>
        <w:rPr>
          <w:rFonts w:ascii="Gotham" w:cs="Gotham" w:eastAsia="Gotham" w:hAnsi="Gotham"/>
          <w:sz w:val="32"/>
          <w:szCs w:val="32"/>
        </w:rPr>
        <w:t xml:space="preserve">As part of your onboarding, you will receive:</w:t>
      </w:r>
    </w:p>
    <w:p>
      <w:pPr>
        <w:pStyle w:val="ListParagraph"/>
        <w:numPr>
          <w:ilvl w:val="0"/>
          <w:numId w:val="2"/>
        </w:numPr>
        <w:spacing w:after="100" w:line="300"/>
      </w:pPr>
      <w:r>
        <w:rPr>
          <w:rFonts w:ascii="Gotham" w:cs="Gotham" w:eastAsia="Gotham" w:hAnsi="Gotham"/>
          <w:sz w:val="32"/>
          <w:szCs w:val="32"/>
        </w:rPr>
        <w:t xml:space="preserve">An introductory call with the Founder to agree priorities and how you will work together.</w:t>
      </w:r>
    </w:p>
    <w:p>
      <w:pPr>
        <w:pStyle w:val="ListParagraph"/>
        <w:numPr>
          <w:ilvl w:val="0"/>
          <w:numId w:val="2"/>
        </w:numPr>
        <w:spacing w:after="100" w:line="300"/>
      </w:pPr>
      <w:r>
        <w:rPr>
          <w:rFonts w:ascii="Gotham" w:cs="Gotham" w:eastAsia="Gotham" w:hAnsi="Gotham"/>
          <w:sz w:val="32"/>
          <w:szCs w:val="32"/>
        </w:rPr>
        <w:t xml:space="preserve">SharePoint access, set up with the SharePoint Administrator.</w:t>
      </w:r>
    </w:p>
    <w:p>
      <w:pPr>
        <w:pStyle w:val="ListParagraph"/>
        <w:numPr>
          <w:ilvl w:val="0"/>
          <w:numId w:val="2"/>
        </w:numPr>
        <w:spacing w:after="100" w:line="300"/>
      </w:pPr>
      <w:r>
        <w:rPr>
          <w:rFonts w:ascii="Gotham" w:cs="Gotham" w:eastAsia="Gotham" w:hAnsi="Gotham"/>
          <w:sz w:val="32"/>
          <w:szCs w:val="32"/>
        </w:rPr>
        <w:t xml:space="preserve">A walkthrough of the Scheme of Delegation and ESC’s current policies.</w:t>
      </w:r>
    </w:p>
    <w:p>
      <w:pPr>
        <w:pStyle w:val="ListParagraph"/>
        <w:numPr>
          <w:ilvl w:val="0"/>
          <w:numId w:val="2"/>
        </w:numPr>
        <w:spacing w:after="100" w:line="300"/>
      </w:pPr>
      <w:r>
        <w:rPr>
          <w:rFonts w:ascii="Gotham" w:cs="Gotham" w:eastAsia="Gotham" w:hAnsi="Gotham"/>
          <w:sz w:val="32"/>
          <w:szCs w:val="32"/>
        </w:rPr>
        <w:t xml:space="preserve">Introductions to the specialist leads in the stream and to the Secretary trustee or interim trustee lead.</w:t>
      </w:r>
    </w:p>
    <w:p>
      <w:pPr>
        <w:pStyle w:val="Heading1"/>
        <w:pBdr>
          <w:bottom w:val="single" w:color="B19CD7" w:sz="6" w:space="4"/>
        </w:pBdr>
        <w:spacing w:after="160" w:before="360"/>
      </w:pPr>
      <w:r>
        <w:rPr>
          <w:rFonts w:ascii="Gotham" w:cs="Gotham" w:eastAsia="Gotham" w:hAnsi="Gotham"/>
          <w:color w:val="946FCD"/>
          <w:sz w:val="56"/>
          <w:szCs w:val="56"/>
        </w:rPr>
        <w:t xml:space="preserve">Person Specification</w:t>
      </w:r>
    </w:p>
    <w:p>
      <w:pPr>
        <w:pStyle w:val="Heading2"/>
        <w:spacing w:after="120" w:before="240"/>
      </w:pPr>
      <w:r>
        <w:rPr>
          <w:rFonts w:ascii="Gotham" w:cs="Gotham" w:eastAsia="Gotham" w:hAnsi="Gotham"/>
          <w:color w:val="946FCD"/>
          <w:sz w:val="40"/>
          <w:szCs w:val="40"/>
        </w:rPr>
        <w:t xml:space="preserve">Essential</w:t>
      </w:r>
    </w:p>
    <w:p>
      <w:pPr>
        <w:pStyle w:val="ListParagraph"/>
        <w:numPr>
          <w:ilvl w:val="0"/>
          <w:numId w:val="2"/>
        </w:numPr>
        <w:spacing w:after="100" w:line="300"/>
      </w:pPr>
      <w:r>
        <w:rPr>
          <w:rFonts w:ascii="Gotham" w:cs="Gotham" w:eastAsia="Gotham" w:hAnsi="Gotham"/>
          <w:sz w:val="32"/>
          <w:szCs w:val="32"/>
        </w:rPr>
        <w:t xml:space="preserve">Passion for ESC’s mission and a genuine commitment to making a positive impact for people with endometriosis.</w:t>
      </w:r>
    </w:p>
    <w:p>
      <w:pPr>
        <w:pStyle w:val="ListParagraph"/>
        <w:numPr>
          <w:ilvl w:val="0"/>
          <w:numId w:val="2"/>
        </w:numPr>
        <w:spacing w:after="100" w:line="300"/>
      </w:pPr>
      <w:r>
        <w:rPr>
          <w:rFonts w:ascii="Gotham" w:cs="Gotham" w:eastAsia="Gotham" w:hAnsi="Gotham"/>
          <w:sz w:val="32"/>
          <w:szCs w:val="32"/>
        </w:rPr>
        <w:t xml:space="preserve">Experience in a compliance, governance, operations, HR or quality assurance role, in any sector.</w:t>
      </w:r>
    </w:p>
    <w:p>
      <w:pPr>
        <w:pStyle w:val="ListParagraph"/>
        <w:numPr>
          <w:ilvl w:val="0"/>
          <w:numId w:val="2"/>
        </w:numPr>
        <w:spacing w:after="100" w:line="300"/>
      </w:pPr>
      <w:r>
        <w:rPr>
          <w:rFonts w:ascii="Gotham" w:cs="Gotham" w:eastAsia="Gotham" w:hAnsi="Gotham"/>
          <w:sz w:val="32"/>
          <w:szCs w:val="32"/>
        </w:rPr>
        <w:t xml:space="preserve">A working understanding of safeguarding principles and willingness to complete appropriate training.</w:t>
      </w:r>
    </w:p>
    <w:p>
      <w:pPr>
        <w:pStyle w:val="ListParagraph"/>
        <w:numPr>
          <w:ilvl w:val="0"/>
          <w:numId w:val="2"/>
        </w:numPr>
        <w:spacing w:after="100" w:line="300"/>
      </w:pPr>
      <w:r>
        <w:rPr>
          <w:rFonts w:ascii="Gotham" w:cs="Gotham" w:eastAsia="Gotham" w:hAnsi="Gotham"/>
          <w:sz w:val="32"/>
          <w:szCs w:val="32"/>
        </w:rPr>
        <w:t xml:space="preserve">Understanding of UK GDPR principles and of handling sensitive information confidentially.</w:t>
      </w:r>
    </w:p>
    <w:p>
      <w:pPr>
        <w:pStyle w:val="ListParagraph"/>
        <w:numPr>
          <w:ilvl w:val="0"/>
          <w:numId w:val="2"/>
        </w:numPr>
        <w:spacing w:after="100" w:line="300"/>
      </w:pPr>
      <w:r>
        <w:rPr>
          <w:rFonts w:ascii="Gotham" w:cs="Gotham" w:eastAsia="Gotham" w:hAnsi="Gotham"/>
          <w:sz w:val="32"/>
          <w:szCs w:val="32"/>
        </w:rPr>
        <w:t xml:space="preserve">Highly organised, with strong record-keeping, and a clear writer who can report to a board.</w:t>
      </w:r>
    </w:p>
    <w:p>
      <w:pPr>
        <w:pStyle w:val="ListParagraph"/>
        <w:numPr>
          <w:ilvl w:val="0"/>
          <w:numId w:val="2"/>
        </w:numPr>
        <w:spacing w:after="100" w:line="300"/>
      </w:pPr>
      <w:r>
        <w:rPr>
          <w:rFonts w:ascii="Gotham" w:cs="Gotham" w:eastAsia="Gotham" w:hAnsi="Gotham"/>
          <w:sz w:val="32"/>
          <w:szCs w:val="32"/>
        </w:rPr>
        <w:t xml:space="preserve">Calm judgement, comfortable raising difficult issues, and sensitive to the experience of people living with chronic illness.</w:t>
      </w:r>
    </w:p>
    <w:p>
      <w:pPr>
        <w:pStyle w:val="ListParagraph"/>
        <w:numPr>
          <w:ilvl w:val="0"/>
          <w:numId w:val="2"/>
        </w:numPr>
        <w:spacing w:after="100" w:line="300"/>
      </w:pPr>
      <w:r>
        <w:rPr>
          <w:rFonts w:ascii="Gotham" w:cs="Gotham" w:eastAsia="Gotham" w:hAnsi="Gotham"/>
          <w:sz w:val="32"/>
          <w:szCs w:val="32"/>
        </w:rPr>
        <w:t xml:space="preserve">Commitment to upholding ESC’s values of equality, diversity, and inclusion.</w:t>
      </w:r>
    </w:p>
    <w:p>
      <w:pPr>
        <w:pStyle w:val="Heading2"/>
        <w:spacing w:after="120" w:before="240"/>
      </w:pPr>
      <w:r>
        <w:rPr>
          <w:rFonts w:ascii="Gotham" w:cs="Gotham" w:eastAsia="Gotham" w:hAnsi="Gotham"/>
          <w:color w:val="946FCD"/>
          <w:sz w:val="40"/>
          <w:szCs w:val="40"/>
        </w:rPr>
        <w:t xml:space="preserve">Desirable</w:t>
      </w:r>
    </w:p>
    <w:p>
      <w:pPr>
        <w:pStyle w:val="ListParagraph"/>
        <w:numPr>
          <w:ilvl w:val="0"/>
          <w:numId w:val="2"/>
        </w:numPr>
        <w:spacing w:after="100" w:line="300"/>
      </w:pPr>
      <w:r>
        <w:rPr>
          <w:rFonts w:ascii="Gotham" w:cs="Gotham" w:eastAsia="Gotham" w:hAnsi="Gotham"/>
          <w:sz w:val="32"/>
          <w:szCs w:val="32"/>
        </w:rPr>
        <w:t xml:space="preserve">Experience in a charity, education, health, social care or public sector setting.</w:t>
      </w:r>
    </w:p>
    <w:p>
      <w:pPr>
        <w:pStyle w:val="ListParagraph"/>
        <w:numPr>
          <w:ilvl w:val="0"/>
          <w:numId w:val="2"/>
        </w:numPr>
        <w:spacing w:after="100" w:line="300"/>
      </w:pPr>
      <w:r>
        <w:rPr>
          <w:rFonts w:ascii="Gotham" w:cs="Gotham" w:eastAsia="Gotham" w:hAnsi="Gotham"/>
          <w:sz w:val="32"/>
          <w:szCs w:val="32"/>
        </w:rPr>
        <w:t xml:space="preserve">Previous experience as a designated safeguarding lead or deputy, or Level 3 safeguarding training.</w:t>
      </w:r>
    </w:p>
    <w:p>
      <w:pPr>
        <w:pStyle w:val="ListParagraph"/>
        <w:numPr>
          <w:ilvl w:val="0"/>
          <w:numId w:val="2"/>
        </w:numPr>
        <w:spacing w:after="100" w:line="300"/>
      </w:pPr>
      <w:r>
        <w:rPr>
          <w:rFonts w:ascii="Gotham" w:cs="Gotham" w:eastAsia="Gotham" w:hAnsi="Gotham"/>
          <w:sz w:val="32"/>
          <w:szCs w:val="32"/>
        </w:rPr>
        <w:t xml:space="preserve">Experience working with special category data or information governance.</w:t>
      </w:r>
    </w:p>
    <w:p>
      <w:pPr>
        <w:pStyle w:val="ListParagraph"/>
        <w:numPr>
          <w:ilvl w:val="0"/>
          <w:numId w:val="2"/>
        </w:numPr>
        <w:spacing w:after="100" w:line="300"/>
      </w:pPr>
      <w:r>
        <w:rPr>
          <w:rFonts w:ascii="Gotham" w:cs="Gotham" w:eastAsia="Gotham" w:hAnsi="Gotham"/>
          <w:sz w:val="32"/>
          <w:szCs w:val="32"/>
        </w:rPr>
        <w:t xml:space="preserve">Experience using SharePoint or Microsoft 365.</w:t>
      </w:r>
    </w:p>
    <w:p>
      <w:pPr>
        <w:pStyle w:val="ListParagraph"/>
        <w:numPr>
          <w:ilvl w:val="0"/>
          <w:numId w:val="2"/>
        </w:numPr>
        <w:spacing w:after="100" w:line="300"/>
      </w:pPr>
      <w:r>
        <w:rPr>
          <w:rFonts w:ascii="Gotham" w:cs="Gotham" w:eastAsia="Gotham" w:hAnsi="Gotham"/>
          <w:sz w:val="32"/>
          <w:szCs w:val="32"/>
        </w:rPr>
        <w:t xml:space="preserve">Lived experience of endometriosis or adenomyosis, or of supporting someone who has it.</w:t>
      </w:r>
    </w:p>
    <w:p>
      <w:pPr>
        <w:pStyle w:val="ListParagraph"/>
        <w:numPr>
          <w:ilvl w:val="0"/>
          <w:numId w:val="2"/>
        </w:numPr>
        <w:spacing w:after="100" w:line="300"/>
      </w:pPr>
      <w:r>
        <w:rPr>
          <w:rFonts w:ascii="Gotham" w:cs="Gotham" w:eastAsia="Gotham" w:hAnsi="Gotham"/>
          <w:sz w:val="32"/>
          <w:szCs w:val="32"/>
        </w:rPr>
        <w:t xml:space="preserve">Knowledge of the South Coast community or lived experience of endometriosis.</w:t>
      </w:r>
    </w:p>
    <w:p>
      <w:pPr>
        <w:pStyle w:val="Heading1"/>
        <w:pBdr>
          <w:bottom w:val="single" w:color="B19CD7" w:sz="6" w:space="4"/>
        </w:pBdr>
        <w:spacing w:after="160" w:before="360"/>
      </w:pPr>
      <w:r>
        <w:rPr>
          <w:rFonts w:ascii="Gotham" w:cs="Gotham" w:eastAsia="Gotham" w:hAnsi="Gotham"/>
          <w:color w:val="946FCD"/>
          <w:sz w:val="56"/>
          <w:szCs w:val="56"/>
        </w:rPr>
        <w:t xml:space="preserve">Time Commitment</w:t>
      </w:r>
    </w:p>
    <w:p>
      <w:pPr>
        <w:spacing w:after="160" w:line="300"/>
      </w:pPr>
      <w:r>
        <w:rPr>
          <w:rFonts w:ascii="Gotham" w:cs="Gotham" w:eastAsia="Gotham" w:hAnsi="Gotham"/>
          <w:sz w:val="32"/>
          <w:szCs w:val="32"/>
        </w:rPr>
        <w:t xml:space="preserve">Most of the time in this role is needed at the start. For roughly the first 2–3 months, expect around 2–3 hours per week while you set up the compliance calendar, the DBS and policy registers, and help fill the vacant specialist roles. Once these are in place, the role settles into a monthly rhythm of around 4–6 hours per month, with occasional extra time if a safeguarding concern or incident needs your attention.</w:t>
      </w:r>
    </w:p>
    <w:p>
      <w:pPr>
        <w:spacing w:after="160" w:line="300"/>
      </w:pPr>
      <w:r>
        <w:rPr>
          <w:rFonts w:ascii="Gotham" w:cs="Gotham" w:eastAsia="Gotham" w:hAnsi="Gotham"/>
          <w:sz w:val="32"/>
          <w:szCs w:val="32"/>
        </w:rPr>
        <w:t xml:space="preserve">A rough guide to the ongoing phase once setup is complete:</w:t>
      </w:r>
    </w:p>
    <w:p>
      <w:pPr>
        <w:pStyle w:val="ListParagraph"/>
        <w:numPr>
          <w:ilvl w:val="0"/>
          <w:numId w:val="2"/>
        </w:numPr>
        <w:spacing w:after="100" w:line="300"/>
      </w:pPr>
      <w:r>
        <w:rPr>
          <w:rFonts w:ascii="Gotham" w:cs="Gotham" w:eastAsia="Gotham" w:hAnsi="Gotham"/>
          <w:sz w:val="32"/>
          <w:szCs w:val="32"/>
        </w:rPr>
        <w:t xml:space="preserve">Check-ins with the specialist leads — approx. 1–2 hrs/month</w:t>
      </w:r>
    </w:p>
    <w:p>
      <w:pPr>
        <w:pStyle w:val="ListParagraph"/>
        <w:numPr>
          <w:ilvl w:val="0"/>
          <w:numId w:val="2"/>
        </w:numPr>
        <w:spacing w:after="100" w:line="300"/>
      </w:pPr>
      <w:r>
        <w:rPr>
          <w:rFonts w:ascii="Gotham" w:cs="Gotham" w:eastAsia="Gotham" w:hAnsi="Gotham"/>
          <w:sz w:val="32"/>
          <w:szCs w:val="32"/>
        </w:rPr>
        <w:t xml:space="preserve">Updating the compliance calendar and registers — approx. 1 hr/month</w:t>
      </w:r>
    </w:p>
    <w:p>
      <w:pPr>
        <w:pStyle w:val="ListParagraph"/>
        <w:numPr>
          <w:ilvl w:val="0"/>
          <w:numId w:val="2"/>
        </w:numPr>
        <w:spacing w:after="100" w:line="300"/>
      </w:pPr>
      <w:r>
        <w:rPr>
          <w:rFonts w:ascii="Gotham" w:cs="Gotham" w:eastAsia="Gotham" w:hAnsi="Gotham"/>
          <w:sz w:val="32"/>
          <w:szCs w:val="32"/>
        </w:rPr>
        <w:t xml:space="preserve">Preparing the quarterly board report section — approx. 2–3 hrs/quarter</w:t>
      </w:r>
    </w:p>
    <w:p>
      <w:pPr>
        <w:pStyle w:val="ListParagraph"/>
        <w:numPr>
          <w:ilvl w:val="0"/>
          <w:numId w:val="2"/>
        </w:numPr>
        <w:spacing w:after="100" w:line="300"/>
      </w:pPr>
      <w:r>
        <w:rPr>
          <w:rFonts w:ascii="Gotham" w:cs="Gotham" w:eastAsia="Gotham" w:hAnsi="Gotham"/>
          <w:sz w:val="32"/>
          <w:szCs w:val="32"/>
        </w:rPr>
        <w:t xml:space="preserve">Safeguarding concerns, incidents and contact with the Secretary trustee — ad hoc</w:t>
      </w:r>
    </w:p>
    <w:p>
      <w:pPr>
        <w:spacing w:after="160" w:line="300"/>
      </w:pPr>
      <w:r>
        <w:rPr>
          <w:rFonts w:ascii="Gotham" w:cs="Gotham" w:eastAsia="Gotham" w:hAnsi="Gotham"/>
          <w:sz w:val="32"/>
          <w:szCs w:val="32"/>
        </w:rPr>
        <w:t xml:space="preserve">Virtual meetings typically take place on weekday evenings. We will work with you to manage this around your other commitments.</w:t>
      </w:r>
    </w:p>
    <w:p>
      <w:pPr>
        <w:pStyle w:val="Heading1"/>
        <w:pBdr>
          <w:bottom w:val="single" w:color="B19CD7" w:sz="6" w:space="4"/>
        </w:pBdr>
        <w:spacing w:after="160" w:before="360"/>
      </w:pPr>
      <w:r>
        <w:rPr>
          <w:rFonts w:ascii="Gotham" w:cs="Gotham" w:eastAsia="Gotham" w:hAnsi="Gotham"/>
          <w:color w:val="946FCD"/>
          <w:sz w:val="56"/>
          <w:szCs w:val="56"/>
        </w:rPr>
        <w:t xml:space="preserve">What You’ll Gain</w:t>
      </w:r>
    </w:p>
    <w:p>
      <w:pPr>
        <w:pStyle w:val="ListParagraph"/>
        <w:numPr>
          <w:ilvl w:val="0"/>
          <w:numId w:val="2"/>
        </w:numPr>
        <w:spacing w:after="100" w:line="300"/>
      </w:pPr>
      <w:r>
        <w:rPr>
          <w:rFonts w:ascii="Gotham" w:cs="Gotham" w:eastAsia="Gotham" w:hAnsi="Gotham"/>
          <w:sz w:val="32"/>
          <w:szCs w:val="32"/>
        </w:rPr>
        <w:t xml:space="preserve">The chance to shape the foundations of a growing charity by building the compliance and safeguarding framework that protects the people we support.</w:t>
      </w:r>
    </w:p>
    <w:p>
      <w:pPr>
        <w:pStyle w:val="ListParagraph"/>
        <w:numPr>
          <w:ilvl w:val="0"/>
          <w:numId w:val="2"/>
        </w:numPr>
        <w:spacing w:after="100" w:line="300"/>
      </w:pPr>
      <w:r>
        <w:rPr>
          <w:rFonts w:ascii="Gotham" w:cs="Gotham" w:eastAsia="Gotham" w:hAnsi="Gotham"/>
          <w:sz w:val="32"/>
          <w:szCs w:val="32"/>
        </w:rPr>
        <w:t xml:space="preserve">Leadership experience, coordinating a team of specialist volunteer leads and reporting to a board.</w:t>
      </w:r>
    </w:p>
    <w:p>
      <w:pPr>
        <w:pStyle w:val="ListParagraph"/>
        <w:numPr>
          <w:ilvl w:val="0"/>
          <w:numId w:val="2"/>
        </w:numPr>
        <w:spacing w:after="100" w:line="300"/>
      </w:pPr>
      <w:r>
        <w:rPr>
          <w:rFonts w:ascii="Gotham" w:cs="Gotham" w:eastAsia="Gotham" w:hAnsi="Gotham"/>
          <w:sz w:val="32"/>
          <w:szCs w:val="32"/>
        </w:rPr>
        <w:t xml:space="preserve">Support to access relevant training, including safeguarding and data protection.</w:t>
      </w:r>
    </w:p>
    <w:p>
      <w:pPr>
        <w:pStyle w:val="ListParagraph"/>
        <w:numPr>
          <w:ilvl w:val="0"/>
          <w:numId w:val="2"/>
        </w:numPr>
        <w:spacing w:after="100" w:line="300"/>
      </w:pPr>
      <w:r>
        <w:rPr>
          <w:rFonts w:ascii="Gotham" w:cs="Gotham" w:eastAsia="Gotham" w:hAnsi="Gotham"/>
          <w:sz w:val="32"/>
          <w:szCs w:val="32"/>
        </w:rPr>
        <w:t xml:space="preserve">Flexible, largely remote working that fits around your other commitments.</w:t>
      </w:r>
    </w:p>
    <w:p>
      <w:pPr>
        <w:pStyle w:val="ListParagraph"/>
        <w:numPr>
          <w:ilvl w:val="0"/>
          <w:numId w:val="2"/>
        </w:numPr>
        <w:spacing w:after="100" w:line="300"/>
      </w:pPr>
      <w:r>
        <w:rPr>
          <w:rFonts w:ascii="Gotham" w:cs="Gotham" w:eastAsia="Gotham" w:hAnsi="Gotham"/>
          <w:sz w:val="32"/>
          <w:szCs w:val="32"/>
        </w:rPr>
        <w:t xml:space="preserve">A supportive and genuinely grateful team who will value the expertise you bring.</w:t>
      </w:r>
    </w:p>
    <w:p>
      <w:pPr>
        <w:pStyle w:val="ListParagraph"/>
        <w:numPr>
          <w:ilvl w:val="0"/>
          <w:numId w:val="2"/>
        </w:numPr>
        <w:spacing w:after="100" w:line="300"/>
      </w:pPr>
      <w:r>
        <w:rPr>
          <w:rFonts w:ascii="Gotham" w:cs="Gotham" w:eastAsia="Gotham" w:hAnsi="Gotham"/>
          <w:sz w:val="32"/>
          <w:szCs w:val="32"/>
        </w:rPr>
        <w:t xml:space="preserve">A volunteer reference upon request.</w:t>
      </w:r>
    </w:p>
    <w:p>
      <w:pPr>
        <w:pStyle w:val="Heading1"/>
        <w:pBdr>
          <w:bottom w:val="single" w:color="B19CD7" w:sz="6" w:space="4"/>
        </w:pBdr>
        <w:spacing w:after="160" w:before="360"/>
      </w:pPr>
      <w:r>
        <w:rPr>
          <w:rFonts w:ascii="Gotham" w:cs="Gotham" w:eastAsia="Gotham" w:hAnsi="Gotham"/>
          <w:color w:val="946FCD"/>
          <w:sz w:val="56"/>
          <w:szCs w:val="56"/>
        </w:rPr>
        <w:t xml:space="preserve">Training &amp; Support</w:t>
      </w:r>
    </w:p>
    <w:p>
      <w:pPr>
        <w:spacing w:after="160" w:line="300"/>
      </w:pPr>
      <w:r>
        <w:rPr>
          <w:rFonts w:ascii="Gotham" w:cs="Gotham" w:eastAsia="Gotham" w:hAnsi="Gotham"/>
          <w:sz w:val="32"/>
          <w:szCs w:val="32"/>
        </w:rPr>
        <w:t xml:space="preserve">All new volunteers receive a full induction covering ESC’s mission, services, and values. You will be supported to access safeguarding training at the level appropriate to the role, along with relevant data protection training. This role requires a DBS check at the appropriate level, and ESC covers the cost. Compliance, governance or operational experience is expected to come from the volunteer; specialist safeguarding judgements and referrals sit with the Safeguarding Lead.</w:t>
      </w:r>
    </w:p>
    <w:p>
      <w:pPr>
        <w:spacing w:after="160" w:line="300"/>
      </w:pPr>
      <w:r>
        <w:rPr>
          <w:rFonts w:ascii="Gotham" w:cs="Gotham" w:eastAsia="Gotham" w:hAnsi="Gotham"/>
          <w:i/>
          <w:iCs/>
          <w:sz w:val="32"/>
          <w:szCs w:val="32"/>
        </w:rPr>
        <w:t xml:space="preserve">Please note: if you have questions about whether your experience is a good fit for this role, please do get in touch — we are happy to have a conversation before you apply.</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19CD7" w:sz="6" w:space="4"/>
      </w:pBdr>
      <w:jc w:val="center"/>
    </w:pPr>
    <w:r>
      <w:rPr>
        <w:rFonts w:ascii="Gotham" w:cs="Gotham" w:eastAsia="Gotham" w:hAnsi="Gotham"/>
        <w:b/>
        <w:bCs/>
        <w:color w:val="946FCD"/>
        <w:sz w:val="28"/>
        <w:szCs w:val="28"/>
      </w:rPr>
      <w:t xml:space="preserve">Endometriosis South Coast | Charity No. 1186203 | endometriosissouthcoast.com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46FCD" w:sz="6" w:space="4"/>
      </w:pBdr>
    </w:pPr>
    <w:r>
      <w:rPr>
        <w:rFonts w:ascii="Gotham" w:cs="Gotham" w:eastAsia="Gotham" w:hAnsi="Gotham"/>
        <w:b/>
        <w:bCs/>
        <w:color w:val="946FCD"/>
        <w:sz w:val="28"/>
        <w:szCs w:val="28"/>
      </w:rPr>
      <w:t xml:space="preserve">ENDOMETRIOSIS SOUTH COAST | Volunteer Role Description | Charity No. 1186203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color w:val="946FC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otham" w:cs="Gotham" w:eastAsia="Gotham" w:hAnsi="Gotham"/>
        <w:sz w:val="32"/>
        <w:szCs w:val="3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otham" w:cs="Gotham" w:eastAsia="Gotham" w:hAnsi="Gotham"/>
      <w:color w:val="946FCD"/>
      <w:sz w:val="56"/>
      <w:szCs w:val="56"/>
    </w:rPr>
  </w:style>
  <w:style w:type="paragraph" w:styleId="Heading2">
    <w:name w:val="Heading 2"/>
    <w:basedOn w:val="Normal"/>
    <w:next w:val="Normal"/>
    <w:qFormat/>
    <w:pPr>
      <w:outlineLvl w:val="1"/>
    </w:pPr>
    <w:rPr>
      <w:rFonts w:ascii="Gotham" w:cs="Gotham" w:eastAsia="Gotham" w:hAnsi="Gotham"/>
      <w:color w:val="946FCD"/>
      <w:sz w:val="40"/>
      <w:szCs w:val="4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2026-10-01T10:40:48.433Z</dcterms:created>
  <dcterms:modified xsi:type="dcterms:W3CDTF">2026-10-01T10:40:48.433Z</dcterms:modified>
</cp:coreProperties>
</file>

<file path=docProps/custom.xml><?xml version="1.0" encoding="utf-8"?>
<Properties xmlns="http://schemas.openxmlformats.org/officeDocument/2006/custom-properties" xmlns:vt="http://schemas.openxmlformats.org/officeDocument/2006/docPropsVTypes"/>
</file>