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FUTURE OF WOOLTON</w:t>
      </w:r>
    </w:p>
    <w:p>
      <w:pPr>
        <w:jc w:val="center"/>
      </w:pPr>
      <w:r>
        <w:rPr>
          <w:b/>
          <w:sz w:val="26"/>
        </w:rPr>
        <w:t>Charitable Incorporated Organisation (CIO)</w:t>
        <w:br/>
        <w:t>Foundation Model Constitution - Registration Draft</w:t>
      </w:r>
    </w:p>
    <w:p>
      <w:pPr>
        <w:jc w:val="center"/>
      </w:pPr>
      <w:r>
        <w:rPr>
          <w:i/>
        </w:rPr>
        <w:t>Prepared 9 September 2026</w:t>
      </w:r>
    </w:p>
    <w:p>
      <w:r>
        <w:rPr>
          <w:b/>
        </w:rPr>
        <w:t xml:space="preserve">IMPORTANT STATUS: </w:t>
      </w:r>
      <w:r>
        <w:t>This is a completed working registration draft built around the Charity Commission Foundation CIO model. It is not yet an adopted constitution and must be checked against the current Charity Commission model at the point of submission. Trustee names and the date of constitution remain to be completed.</w:t>
      </w:r>
    </w:p>
    <w:p>
      <w:pPr>
        <w:pStyle w:val="Heading1"/>
      </w:pPr>
      <w:r>
        <w:t>1. Name</w:t>
      </w:r>
    </w:p>
    <w:p>
      <w:r>
        <w:t>The name of the Charitable Incorporated Organisation ("the CIO") is Future of Woolton.</w:t>
      </w:r>
    </w:p>
    <w:p>
      <w:pPr>
        <w:pStyle w:val="Heading1"/>
      </w:pPr>
      <w:r>
        <w:t>2. National location of principal office</w:t>
      </w:r>
    </w:p>
    <w:p>
      <w:r>
        <w:t>The principal office of the CIO is in England.</w:t>
      </w:r>
    </w:p>
    <w:p>
      <w:pPr>
        <w:pStyle w:val="Heading1"/>
      </w:pPr>
      <w:r>
        <w:t>3. Objects</w:t>
      </w:r>
    </w:p>
    <w:p>
      <w:r>
        <w:t>The objects of the CIO are, for the public benefit, in the City of Liverpool and such surrounding areas as the charity trustees may from time to time determine:</w:t>
      </w:r>
    </w:p>
    <w:p>
      <w:r>
        <w:rPr>
          <w:b/>
        </w:rPr>
        <w:t xml:space="preserve">3.1 Heritage and regeneration. </w:t>
      </w:r>
      <w:r>
        <w:t>To advance heritage and promote community regeneration by preserving, protecting, restoring, conserving and securing the sustainable reuse of buildings, structures, sites and places of historic, architectural or community importance.</w:t>
      </w:r>
    </w:p>
    <w:p>
      <w:r>
        <w:rPr>
          <w:b/>
        </w:rPr>
        <w:t xml:space="preserve">3.2 Community facilities, recreation and wellbeing. </w:t>
      </w:r>
      <w:r>
        <w:t>To provide, maintain, manage and assist in the provision of facilities for recreation, swimming, physical activity, leisure and other community activities in the interests of social welfare, with the object of improving the conditions of life of the public and particularly people who have need of such facilities by reason of youth, age, disability, financial hardship or social or economic circumstances.</w:t>
      </w:r>
    </w:p>
    <w:p>
      <w:r>
        <w:rPr>
          <w:b/>
        </w:rPr>
        <w:t xml:space="preserve">3.3 Environment and public spaces. </w:t>
      </w:r>
      <w:r>
        <w:t>To promote the conservation, protection and improvement of the physical and natural environment, including parks, green spaces, public amenities and community spaces, including through conservation, maintenance, planting, community clean-ups and environmental improvement.</w:t>
      </w:r>
    </w:p>
    <w:p>
      <w:r>
        <w:rPr>
          <w:b/>
        </w:rPr>
        <w:t xml:space="preserve">3.4 Relief of poverty and financial hardship. </w:t>
      </w:r>
      <w:r>
        <w:t>To prevent or relieve poverty and financial hardship by providing grants, goods, services or other charitable assistance to individuals in need within the area of benefit.</w:t>
      </w:r>
    </w:p>
    <w:p>
      <w:r>
        <w:rPr>
          <w:b/>
        </w:rPr>
        <w:t xml:space="preserve">3.5 Community development. </w:t>
      </w:r>
      <w:r>
        <w:t>To advance citizenship and community development for the public benefit, including by supporting community participation, volunteering, community capacity and the regeneration and improvement of communities and community assets.</w:t>
      </w:r>
    </w:p>
    <w:p>
      <w:r>
        <w:t>Nothing in this constitution authorises the application of the CIO's property for purposes that are not charitable under the law applicable to charities in England and Wales.</w:t>
      </w:r>
    </w:p>
    <w:p>
      <w:pPr>
        <w:pStyle w:val="Heading1"/>
      </w:pPr>
      <w:r>
        <w:t>4. Powers</w:t>
      </w:r>
    </w:p>
    <w:p>
      <w:r>
        <w:t>The CIO has power to do anything calculated to further its objects or conducive or incidental to doing so. In particular, and subject to charity law, it may:</w:t>
      </w:r>
    </w:p>
    <w:p>
      <w:pPr>
        <w:pStyle w:val="ListBullet"/>
      </w:pPr>
      <w:r>
        <w:t>buy, take on lease, hire or otherwise acquire property, and maintain and equip it for use;</w:t>
      </w:r>
    </w:p>
    <w:p>
      <w:pPr>
        <w:pStyle w:val="ListBullet"/>
      </w:pPr>
      <w:r>
        <w:t>sell, lease or otherwise dispose of property belonging to the CIO, subject to the statutory requirements applying to charity land;</w:t>
      </w:r>
    </w:p>
    <w:p>
      <w:pPr>
        <w:pStyle w:val="ListBullet"/>
      </w:pPr>
      <w:r>
        <w:t>borrow money and, where lawful and appropriate, charge property as security;</w:t>
      </w:r>
    </w:p>
    <w:p>
      <w:pPr>
        <w:pStyle w:val="ListBullet"/>
      </w:pPr>
      <w:r>
        <w:t>employ and remunerate staff necessary to carry out the CIO's work, subject to the restrictions on trustee and connected-person benefits;</w:t>
      </w:r>
    </w:p>
    <w:p>
      <w:pPr>
        <w:pStyle w:val="ListBullet"/>
      </w:pPr>
      <w:r>
        <w:t>receive grants, donations, legacies, sponsorship and other lawful funding, and undertake fundraising;</w:t>
      </w:r>
    </w:p>
    <w:p>
      <w:pPr>
        <w:pStyle w:val="ListBullet"/>
      </w:pPr>
      <w:r>
        <w:t>carry on trading activities which directly further the objects and other lawful ancillary trading, and establish or use a trading subsidiary where appropriate;</w:t>
      </w:r>
    </w:p>
    <w:p>
      <w:pPr>
        <w:pStyle w:val="ListBullet"/>
      </w:pPr>
      <w:r>
        <w:t>make grants or provide other charitable assistance in furtherance of the objects;</w:t>
      </w:r>
    </w:p>
    <w:p>
      <w:pPr>
        <w:pStyle w:val="ListBullet"/>
      </w:pPr>
      <w:r>
        <w:t>work with local authorities, charities, voluntary organisations, businesses, educational bodies and other partners;</w:t>
      </w:r>
    </w:p>
    <w:p>
      <w:pPr>
        <w:pStyle w:val="ListBullet"/>
      </w:pPr>
      <w:r>
        <w:t>deposit or invest funds and appoint professional investment or fund managers where appropriate; and</w:t>
      </w:r>
    </w:p>
    <w:p>
      <w:pPr>
        <w:pStyle w:val="ListBullet"/>
      </w:pPr>
      <w:r>
        <w:t>establish designated projects, funds and programmes, including Save Woolton Baths, provided that all such activity remains within the CIO's objects.</w:t>
      </w:r>
    </w:p>
    <w:p>
      <w:pPr>
        <w:pStyle w:val="Heading1"/>
      </w:pPr>
      <w:r>
        <w:t>5. Application of income and property</w:t>
      </w:r>
    </w:p>
    <w:p>
      <w:r>
        <w:t>The income and property of the CIO must be applied solely towards the promotion of its objects.</w:t>
      </w:r>
    </w:p>
    <w:p>
      <w:r>
        <w:t>No income or property of the CIO may be paid or transferred directly or indirectly by way of dividend, bonus or distribution of profit to any member.</w:t>
      </w:r>
    </w:p>
    <w:p>
      <w:r>
        <w:t>A charity trustee may be reimbursed reasonable expenses properly incurred when acting on behalf of the CIO and may receive any benefit or payment only where permitted by this constitution and charity law.</w:t>
      </w:r>
    </w:p>
    <w:p>
      <w:r>
        <w:t>Restricted funds must be applied only for the purposes for which they were given. Funds raised specifically for Save Woolton Baths or another restricted project must not be diverted to unrelated purposes.</w:t>
      </w:r>
    </w:p>
    <w:p>
      <w:pPr>
        <w:pStyle w:val="Heading1"/>
      </w:pPr>
      <w:r>
        <w:t>6. Benefits and payments to charity trustees and connected persons</w:t>
      </w:r>
    </w:p>
    <w:p>
      <w:r>
        <w:t>No charity trustee or connected person may receive a financial benefit from the CIO merely because of that position. Benefits and payments are permitted only where authorised by this constitution, statute, the court or the Charity Commission and where all applicable conditions are satisfied.</w:t>
      </w:r>
    </w:p>
    <w:p>
      <w:r>
        <w:t>A trustee or connected person may, where lawful, receive a benefit as a beneficiary; supply services and/or goods under an authorised arrangement; receive reasonable interest on money lent; receive reasonable rent for premises let to the CIO; or participate in normal trading and fundraising on the same terms as the public.</w:t>
      </w:r>
    </w:p>
    <w:p>
      <w:r>
        <w:t>Any trustee with an interest in such an arrangement must declare the interest, withdraw from relevant discussion and decision-making where required, and must not be counted in the quorum for that decision where the conflict rules require exclusion.</w:t>
      </w:r>
    </w:p>
    <w:p>
      <w:pPr>
        <w:pStyle w:val="Heading1"/>
      </w:pPr>
      <w:r>
        <w:t>7. Conflicts of interest and conflicts of loyalty</w:t>
      </w:r>
    </w:p>
    <w:p>
      <w:r>
        <w:t>Every charity trustee must declare the nature and extent of any direct or indirect interest in a proposed or existing transaction or arrangement with the CIO. A trustee must withdraw from discussion and decision-making where a conflict between duty to the CIO and a personal interest or loyalty may arise, in accordance with charity law and the CIO's conflict-of-interest policy.</w:t>
      </w:r>
    </w:p>
    <w:p>
      <w:pPr>
        <w:pStyle w:val="Heading1"/>
      </w:pPr>
      <w:r>
        <w:t>8. Liability of members</w:t>
      </w:r>
    </w:p>
    <w:p>
      <w:r>
        <w:t>The members of the CIO have no liability to contribute to its assets if it is wound up and no personal responsibility for settling the CIO's debts and liabilities, subject always to any liability arising independently under law.</w:t>
      </w:r>
    </w:p>
    <w:p>
      <w:pPr>
        <w:pStyle w:val="Heading1"/>
      </w:pPr>
      <w:r>
        <w:t>9. Charity trustees</w:t>
      </w:r>
    </w:p>
    <w:p>
      <w:r>
        <w:t>The charity trustees manage the affairs of the CIO and may exercise all powers of the CIO for that purpose. Each trustee must act in good faith in the way they consider most likely to further the CIO's charitable purposes and exercise reasonable care and skill.</w:t>
      </w:r>
    </w:p>
    <w:p>
      <w:r>
        <w:t>Every charity trustee must be a natural person and legally eligible to act as a charity trustee.</w:t>
      </w:r>
    </w:p>
    <w:p>
      <w:r>
        <w:t>There must be at least three charity trustees and no more than twelve.</w:t>
      </w:r>
    </w:p>
    <w:p>
      <w:r>
        <w:t>The first charity trustees will be:</w:t>
      </w:r>
    </w:p>
    <w:tbl>
      <w:tblPr>
        <w:tblStyle w:val="TableGrid"/>
        <w:tblW w:type="auto" w:w="0"/>
        <w:jc w:val="center"/>
        <w:tblLook w:firstColumn="1" w:firstRow="1" w:lastColumn="0" w:lastRow="0" w:noHBand="0" w:noVBand="1" w:val="04A0"/>
      </w:tblPr>
      <w:tblGrid>
        <w:gridCol w:w="3312"/>
        <w:gridCol w:w="3312"/>
        <w:gridCol w:w="3312"/>
      </w:tblGrid>
      <w:tr>
        <w:tc>
          <w:tcPr>
            <w:tcW w:type="dxa" w:w="3312"/>
          </w:tcPr>
          <w:p>
            <w:r>
              <w:t>Name</w:t>
            </w:r>
          </w:p>
        </w:tc>
        <w:tc>
          <w:tcPr>
            <w:tcW w:type="dxa" w:w="3312"/>
          </w:tcPr>
          <w:p>
            <w:r>
              <w:t>Initial term</w:t>
            </w:r>
          </w:p>
        </w:tc>
        <w:tc>
          <w:tcPr>
            <w:tcW w:type="dxa" w:w="3312"/>
          </w:tcPr>
          <w:p>
            <w:r>
              <w:t>Acceptance</w:t>
            </w:r>
          </w:p>
        </w:tc>
      </w:tr>
      <w:tr>
        <w:tc>
          <w:tcPr>
            <w:tcW w:type="dxa" w:w="3312"/>
          </w:tcPr>
          <w:p>
            <w:r>
              <w:t>[TO BE COMPLETED]</w:t>
            </w:r>
          </w:p>
        </w:tc>
        <w:tc>
          <w:tcPr>
            <w:tcW w:type="dxa" w:w="3312"/>
          </w:tcPr>
          <w:p>
            <w:r>
              <w:t>3 years</w:t>
            </w:r>
          </w:p>
        </w:tc>
        <w:tc>
          <w:tcPr>
            <w:tcW w:type="dxa" w:w="3312"/>
          </w:tcPr>
          <w:p>
            <w:r>
              <w:t>[TO BE COMPLETED]</w:t>
            </w:r>
          </w:p>
        </w:tc>
      </w:tr>
      <w:tr>
        <w:tc>
          <w:tcPr>
            <w:tcW w:type="dxa" w:w="3312"/>
          </w:tcPr>
          <w:p>
            <w:r>
              <w:t>[TO BE COMPLETED]</w:t>
            </w:r>
          </w:p>
        </w:tc>
        <w:tc>
          <w:tcPr>
            <w:tcW w:type="dxa" w:w="3312"/>
          </w:tcPr>
          <w:p>
            <w:r>
              <w:t>3 years</w:t>
            </w:r>
          </w:p>
        </w:tc>
        <w:tc>
          <w:tcPr>
            <w:tcW w:type="dxa" w:w="3312"/>
          </w:tcPr>
          <w:p>
            <w:r>
              <w:t>[TO BE COMPLETED]</w:t>
            </w:r>
          </w:p>
        </w:tc>
      </w:tr>
      <w:tr>
        <w:tc>
          <w:tcPr>
            <w:tcW w:type="dxa" w:w="3312"/>
          </w:tcPr>
          <w:p>
            <w:r>
              <w:t>[TO BE COMPLETED]</w:t>
            </w:r>
          </w:p>
        </w:tc>
        <w:tc>
          <w:tcPr>
            <w:tcW w:type="dxa" w:w="3312"/>
          </w:tcPr>
          <w:p>
            <w:r>
              <w:t>3 years</w:t>
            </w:r>
          </w:p>
        </w:tc>
        <w:tc>
          <w:tcPr>
            <w:tcW w:type="dxa" w:w="3312"/>
          </w:tcPr>
          <w:p>
            <w:r>
              <w:t>[TO BE COMPLETED]</w:t>
            </w:r>
          </w:p>
        </w:tc>
      </w:tr>
    </w:tbl>
    <w:p>
      <w:pPr>
        <w:pStyle w:val="Heading1"/>
      </w:pPr>
      <w:r>
        <w:t>10. Appointment of charity trustees</w:t>
      </w:r>
    </w:p>
    <w:p>
      <w:r>
        <w:t>Apart from the first charity trustees, every trustee is appointed for a term of three years by resolution at a properly convened meeting of the charity trustees. Trustees may be reappointed, subject to continuing eligibility and the board's assessment of the skills, knowledge, independence and experience required for effective administration.</w:t>
      </w:r>
    </w:p>
    <w:p>
      <w:r>
        <w:t>In selecting trustees, particular regard should be given to a balanced board capable of overseeing finance, governance, community engagement, property, heritage/conservation, health and safety, fundraising and operation of community facilities.</w:t>
      </w:r>
    </w:p>
    <w:p>
      <w:pPr>
        <w:pStyle w:val="Heading1"/>
      </w:pPr>
      <w:r>
        <w:t>11. Information for new charity trustees</w:t>
      </w:r>
    </w:p>
    <w:p>
      <w:r>
        <w:t>On or before appointment, each new trustee must be provided with the current constitution and the CIO's latest Trustees' Annual Report and accounts when available, together with relevant governance, conflicts, safeguarding and financial-control policies.</w:t>
      </w:r>
    </w:p>
    <w:p>
      <w:pPr>
        <w:pStyle w:val="Heading1"/>
      </w:pPr>
      <w:r>
        <w:t>12. Retirement and removal of charity trustees</w:t>
      </w:r>
    </w:p>
    <w:p>
      <w:r>
        <w:t>A trustee ceases to hold office if they resign in writing, become disqualified from acting as a charity trustee, die, are absent without permission from all trustee meetings for the period specified by the trustees and the trustees resolve that the office be vacated, or are removed in accordance with the constitution and applicable law.</w:t>
      </w:r>
    </w:p>
    <w:p>
      <w:r>
        <w:t>A trustee whose term expires may be considered for reappointment.</w:t>
      </w:r>
    </w:p>
    <w:p>
      <w:pPr>
        <w:pStyle w:val="Heading1"/>
      </w:pPr>
      <w:r>
        <w:t>13. Taking of decisions by charity trustees</w:t>
      </w:r>
    </w:p>
    <w:p>
      <w:r>
        <w:t>Trustees may make decisions at properly convened meetings or by a unanimous written/electronic decision where every trustee entitled to participate indicates agreement in a manner authenticated by the trustees.</w:t>
      </w:r>
    </w:p>
    <w:p>
      <w:pPr>
        <w:pStyle w:val="Heading1"/>
      </w:pPr>
      <w:r>
        <w:t>14. Delegation by charity trustees</w:t>
      </w:r>
    </w:p>
    <w:p>
      <w:r>
        <w:t>The trustees may delegate functions to committees, employees or agents, but remain responsible for oversight. Delegation must be recorded with clear terms, limits, reporting requirements and, where appropriate, financial authority.</w:t>
      </w:r>
    </w:p>
    <w:p>
      <w:r>
        <w:t>The trustees may appoint a Chief Executive, Operations Manager, Project Director or other employee to manage day-to-day activities. Employment does not confer trustee powers unless the individual is separately appointed as a trustee.</w:t>
      </w:r>
    </w:p>
    <w:p>
      <w:r>
        <w:t>The founder may hold a paid operational role where appointed under a proper employment process and where remuneration is reasonable, affordable, for genuine work and authorised by trustees who are independent of the employee. The employee must not determine or approve their own remuneration.</w:t>
      </w:r>
    </w:p>
    <w:p>
      <w:pPr>
        <w:pStyle w:val="Heading1"/>
      </w:pPr>
      <w:r>
        <w:t>15. Meetings and proceedings of charity trustees</w:t>
      </w:r>
    </w:p>
    <w:p>
      <w:r>
        <w:t>Any trustee may call a meeting of the charity trustees. Reasonable notice must be given unless urgency justifies shorter notice. Meetings may be held in person or by suitable electronic means that enables all participants to communicate with each other.</w:t>
      </w:r>
    </w:p>
    <w:p>
      <w:r>
        <w:t>The chair of a meeting is appointed by the trustees present. Questions are decided by a majority of votes of trustees entitled to vote. The chair has no casting vote unless the trustees lawfully adopt such a provision in the final constitution.</w:t>
      </w:r>
    </w:p>
    <w:p>
      <w:pPr>
        <w:pStyle w:val="Heading1"/>
      </w:pPr>
      <w:r>
        <w:t>16. Quorum</w:t>
      </w:r>
    </w:p>
    <w:p>
      <w:r>
        <w:t>No decision may be made at a trustee meeting unless a quorum is present. The quorum is three trustees or one third of the total number of charity trustees, whichever is greater, excluding any trustee who is not entitled to vote on the matter because of a conflict.</w:t>
      </w:r>
    </w:p>
    <w:p>
      <w:pPr>
        <w:pStyle w:val="Heading1"/>
      </w:pPr>
      <w:r>
        <w:t>17. Membership of the CIO</w:t>
      </w:r>
    </w:p>
    <w:p>
      <w:r>
        <w:t>The only members of the CIO are its charity trustees for the time being. Membership cannot be transferred. A person's membership ends when that person ceases to be a charity trustee.</w:t>
      </w:r>
    </w:p>
    <w:p>
      <w:pPr>
        <w:pStyle w:val="Heading1"/>
      </w:pPr>
      <w:r>
        <w:t>18. Decisions which must be made by the members</w:t>
      </w:r>
    </w:p>
    <w:p>
      <w:r>
        <w:t>The members must make decisions reserved to members by law or this constitution, including constitutional amendments, amalgamation or transfer where applicable, and voluntary winding up or dissolution. Because this is a Foundation CIO, the voting members and charity trustees are the same persons, but the capacity in which a decision is made must be recorded.</w:t>
      </w:r>
    </w:p>
    <w:p>
      <w:pPr>
        <w:pStyle w:val="Heading1"/>
      </w:pPr>
      <w:r>
        <w:t>19. General meetings of members</w:t>
      </w:r>
    </w:p>
    <w:p>
      <w:r>
        <w:t>The trustees may call a general meeting of the members where required. Notice, quorum, voting and records must comply with the CIO regulations and this constitution.</w:t>
      </w:r>
    </w:p>
    <w:p>
      <w:pPr>
        <w:pStyle w:val="Heading1"/>
      </w:pPr>
      <w:r>
        <w:t>20. Saving provisions</w:t>
      </w:r>
    </w:p>
    <w:p>
      <w:r>
        <w:t>Subject to law, a decision of the trustees or members is not invalid merely because of a defect in the appointment of a person participating in the decision, provided the decision was otherwise properly made.</w:t>
      </w:r>
    </w:p>
    <w:p>
      <w:pPr>
        <w:pStyle w:val="Heading1"/>
      </w:pPr>
      <w:r>
        <w:t>21. Execution of documents</w:t>
      </w:r>
    </w:p>
    <w:p>
      <w:r>
        <w:t>Documents may be executed on behalf of the CIO in the manner authorised by the trustees and permitted by law. The trustees must maintain appropriate controls for contracts, leases, banking, grants and other material commitments.</w:t>
      </w:r>
    </w:p>
    <w:p>
      <w:pPr>
        <w:pStyle w:val="Heading1"/>
      </w:pPr>
      <w:r>
        <w:t>22. Use of electronic communications</w:t>
      </w:r>
    </w:p>
    <w:p>
      <w:r>
        <w:t>The CIO may use electronic communications in accordance with applicable law. Trustees and members may provide addresses for electronic notices and communications.</w:t>
      </w:r>
    </w:p>
    <w:p>
      <w:pPr>
        <w:pStyle w:val="Heading1"/>
      </w:pPr>
      <w:r>
        <w:t>23. Keeping of Registers</w:t>
      </w:r>
    </w:p>
    <w:p>
      <w:r>
        <w:t>The CIO must maintain the registers required by law, including its register of members and charity trustees, and make them available where the law requires.</w:t>
      </w:r>
    </w:p>
    <w:p>
      <w:pPr>
        <w:pStyle w:val="Heading1"/>
      </w:pPr>
      <w:r>
        <w:t>24. Minutes</w:t>
      </w:r>
    </w:p>
    <w:p>
      <w:r>
        <w:t>The trustees must keep minutes of appointments, member and trustee meetings, decisions made outside meetings, declarations of interest and other matters required by law or good governance.</w:t>
      </w:r>
    </w:p>
    <w:p>
      <w:pPr>
        <w:pStyle w:val="Heading1"/>
      </w:pPr>
      <w:r>
        <w:t>25. Accounting records, accounts, annual reports and returns</w:t>
      </w:r>
    </w:p>
    <w:p>
      <w:r>
        <w:t>The trustees must comply with the statutory requirements concerning accounting records, preparation and scrutiny of accounts, the Trustees' Annual Report and annual returns to the Charity Commission.</w:t>
      </w:r>
    </w:p>
    <w:p>
      <w:pPr>
        <w:pStyle w:val="Heading1"/>
      </w:pPr>
      <w:r>
        <w:t>26. Register of Charities</w:t>
      </w:r>
    </w:p>
    <w:p>
      <w:r>
        <w:t>The trustees must notify the Charity Commission of changes to information required to be entered on the Register of Charities and keep the CIO's registered details accurate and current.</w:t>
      </w:r>
    </w:p>
    <w:p>
      <w:pPr>
        <w:pStyle w:val="Heading1"/>
      </w:pPr>
      <w:r>
        <w:t>27. Rules</w:t>
      </w:r>
    </w:p>
    <w:p>
      <w:r>
        <w:t>The trustees may make reasonable rules or policies for the proper conduct and management of the CIO, provided they do not conflict with this constitution or charity law.</w:t>
      </w:r>
    </w:p>
    <w:p>
      <w:pPr>
        <w:pStyle w:val="ListBullet"/>
      </w:pPr>
      <w:r>
        <w:t>financial controls and delegated authority;</w:t>
      </w:r>
    </w:p>
    <w:p>
      <w:pPr>
        <w:pStyle w:val="ListBullet"/>
      </w:pPr>
      <w:r>
        <w:t>conflicts of interest;</w:t>
      </w:r>
    </w:p>
    <w:p>
      <w:pPr>
        <w:pStyle w:val="ListBullet"/>
      </w:pPr>
      <w:r>
        <w:t>restricted and designated funds;</w:t>
      </w:r>
    </w:p>
    <w:p>
      <w:pPr>
        <w:pStyle w:val="ListBullet"/>
      </w:pPr>
      <w:r>
        <w:t>safeguarding;</w:t>
      </w:r>
    </w:p>
    <w:p>
      <w:pPr>
        <w:pStyle w:val="ListBullet"/>
      </w:pPr>
      <w:r>
        <w:t>health and safety;</w:t>
      </w:r>
    </w:p>
    <w:p>
      <w:pPr>
        <w:pStyle w:val="ListBullet"/>
      </w:pPr>
      <w:r>
        <w:t>employment and remuneration;</w:t>
      </w:r>
    </w:p>
    <w:p>
      <w:pPr>
        <w:pStyle w:val="ListBullet"/>
      </w:pPr>
      <w:r>
        <w:t>grants and hardship assistance;</w:t>
      </w:r>
    </w:p>
    <w:p>
      <w:pPr>
        <w:pStyle w:val="ListBullet"/>
      </w:pPr>
      <w:r>
        <w:t>procurement and related-party transactions;</w:t>
      </w:r>
    </w:p>
    <w:p>
      <w:pPr>
        <w:pStyle w:val="ListBullet"/>
      </w:pPr>
      <w:r>
        <w:t>volunteers; and</w:t>
      </w:r>
    </w:p>
    <w:p>
      <w:pPr>
        <w:pStyle w:val="ListBullet"/>
      </w:pPr>
      <w:r>
        <w:t>project governance, including Save Woolton Baths.</w:t>
      </w:r>
    </w:p>
    <w:p>
      <w:pPr>
        <w:pStyle w:val="Heading1"/>
      </w:pPr>
      <w:r>
        <w:t>28. Disputes</w:t>
      </w:r>
    </w:p>
    <w:p>
      <w:r>
        <w:t>If a dispute arises between members about the validity or propriety of anything done under this constitution, the parties should first attempt in good faith to resolve it through discussion and, where appropriate, mediation before commencing legal proceedings, unless urgent legal action is necessary.</w:t>
      </w:r>
    </w:p>
    <w:p>
      <w:pPr>
        <w:pStyle w:val="Heading1"/>
      </w:pPr>
      <w:r>
        <w:t>29. Amendment of constitution</w:t>
      </w:r>
    </w:p>
    <w:p>
      <w:r>
        <w:t>This constitution may be amended only in accordance with the Charities Act 2011, CIO regulations and any requirement for prior Charity Commission consent. No amendment may cause the CIO to cease to be a charity.</w:t>
      </w:r>
    </w:p>
    <w:p>
      <w:pPr>
        <w:pStyle w:val="Heading1"/>
      </w:pPr>
      <w:r>
        <w:t>30. Voluntary winding up or dissolution</w:t>
      </w:r>
    </w:p>
    <w:p>
      <w:r>
        <w:t>The CIO may be wound up or dissolved only in accordance with the Charities Act 2011 and applicable CIO dissolution regulations. After payment or provision for debts and liabilities, any remaining property must not be distributed to members and must be applied for charitable purposes the same as or similar to the CIO's objects, or otherwise as permitted or directed by the Charity Commission.</w:t>
      </w:r>
    </w:p>
    <w:p>
      <w:pPr>
        <w:pStyle w:val="Heading1"/>
      </w:pPr>
      <w:r>
        <w:t>31. Interpretation</w:t>
      </w:r>
    </w:p>
    <w:p>
      <w:r>
        <w:t>In this constitution, "charity trustee" means a trustee of the CIO; "connected person" has the meaning given by applicable charity law; "the Commission" means the Charity Commission for England and Wales; and references to legislation include amendments and replacement provisions in force from time to time.</w:t>
      </w:r>
    </w:p>
    <w:p>
      <w:pPr>
        <w:pStyle w:val="Heading1"/>
      </w:pPr>
      <w:r>
        <w:t>Schedule 1 - Founding operating framework (non-constitutional working note)</w:t>
      </w:r>
    </w:p>
    <w:p>
      <w:r>
        <w:t>This Schedule is included as a working implementation note and should NOT be treated as part of the adopted constitution unless expressly incorporated following review.</w:t>
      </w:r>
    </w:p>
    <w:p>
      <w:pPr>
        <w:pStyle w:val="ListBullet"/>
      </w:pPr>
      <w:r>
        <w:t>Future of Woolton is founded in Woolton but is intended to benefit communities across Liverpool and, where appropriate under its objects, surrounding areas.</w:t>
      </w:r>
    </w:p>
    <w:p>
      <w:pPr>
        <w:pStyle w:val="ListBullet"/>
      </w:pPr>
      <w:r>
        <w:t>Save Woolton Baths is intended to be Future of Woolton's first flagship project and campaign.</w:t>
      </w:r>
    </w:p>
    <w:p>
      <w:pPr>
        <w:pStyle w:val="ListBullet"/>
      </w:pPr>
      <w:r>
        <w:t>Future of Woolton is intended to seek appropriate tenure, restore Woolton Baths and operate the reopened facility.</w:t>
      </w:r>
    </w:p>
    <w:p>
      <w:pPr>
        <w:pStyle w:val="ListBullet"/>
      </w:pPr>
      <w:r>
        <w:t>Woolton Baths income should first support safe operation, staffing, maintenance, compliance, working capital and appropriate reserves. Wider charitable activity should not undermine the facility's sustainability or divert restricted funds.</w:t>
      </w:r>
    </w:p>
    <w:p>
      <w:pPr>
        <w:pStyle w:val="ListBullet"/>
      </w:pPr>
      <w:r>
        <w:t>Future projects may include heritage/community-asset regeneration, public and green-space improvements, community clean-ups and, when properly funded and governed, hardship assistance.</w:t>
      </w:r>
    </w:p>
    <w:p>
      <w:pPr>
        <w:pStyle w:val="ListBullet"/>
      </w:pPr>
      <w:r>
        <w:t>Current business-planning assumption for the founder's proposed operational role: £25,000 gross annual salary with a provisional £28,000 total annual employer-cost budget. This is a forecast assumption only, not a constitutional entitlement or guaranteed payment.</w:t>
      </w:r>
    </w:p>
    <w:p>
      <w:pPr>
        <w:pStyle w:val="Heading1"/>
      </w:pPr>
      <w:r>
        <w:t>Adoption</w:t>
      </w:r>
    </w:p>
    <w:p>
      <w:r>
        <w:t>Date of constitution: [TO BE COMPLETED ON ADOPTION / REGISTRATION]</w:t>
      </w:r>
    </w:p>
    <w:p>
      <w:r>
        <w:t>The first charity trustees confirm that they adopt this constitution for the proposed Future of Woolton CIO, subject to any amendments required before or during registration.</w:t>
      </w:r>
    </w:p>
    <w:tbl>
      <w:tblPr>
        <w:tblStyle w:val="TableGrid"/>
        <w:tblW w:type="auto" w:w="0"/>
        <w:tblLook w:firstColumn="1" w:firstRow="1" w:lastColumn="0" w:lastRow="0" w:noHBand="0" w:noVBand="1" w:val="04A0"/>
      </w:tblPr>
      <w:tblGrid>
        <w:gridCol w:w="3312"/>
        <w:gridCol w:w="3312"/>
        <w:gridCol w:w="3312"/>
      </w:tblGrid>
      <w:tr>
        <w:tc>
          <w:tcPr>
            <w:tcW w:type="dxa" w:w="3312"/>
          </w:tcPr>
          <w:p>
            <w:r>
              <w:t>Trustee</w:t>
            </w:r>
          </w:p>
        </w:tc>
        <w:tc>
          <w:tcPr>
            <w:tcW w:type="dxa" w:w="3312"/>
          </w:tcPr>
          <w:p>
            <w:r>
              <w:t>Signature</w:t>
            </w:r>
          </w:p>
        </w:tc>
        <w:tc>
          <w:tcPr>
            <w:tcW w:type="dxa" w:w="3312"/>
          </w:tcPr>
          <w:p>
            <w:r>
              <w:t>Date</w:t>
            </w:r>
          </w:p>
        </w:tc>
      </w:tr>
      <w:tr>
        <w:tc>
          <w:tcPr>
            <w:tcW w:type="dxa" w:w="3312"/>
          </w:tcPr>
          <w:p>
            <w:r>
              <w:t>[TO BE COMPLETED]</w:t>
            </w:r>
          </w:p>
        </w:tc>
        <w:tc>
          <w:tcPr>
            <w:tcW w:type="dxa" w:w="3312"/>
          </w:tcPr>
          <w:p>
            <w:r/>
          </w:p>
        </w:tc>
        <w:tc>
          <w:tcPr>
            <w:tcW w:type="dxa" w:w="3312"/>
          </w:tcPr>
          <w:p>
            <w:r/>
          </w:p>
        </w:tc>
      </w:tr>
      <w:tr>
        <w:tc>
          <w:tcPr>
            <w:tcW w:type="dxa" w:w="3312"/>
          </w:tcPr>
          <w:p>
            <w:r>
              <w:t>[TO BE COMPLETED]</w:t>
            </w:r>
          </w:p>
        </w:tc>
        <w:tc>
          <w:tcPr>
            <w:tcW w:type="dxa" w:w="3312"/>
          </w:tcPr>
          <w:p>
            <w:r/>
          </w:p>
        </w:tc>
        <w:tc>
          <w:tcPr>
            <w:tcW w:type="dxa" w:w="3312"/>
          </w:tcPr>
          <w:p>
            <w:r/>
          </w:p>
        </w:tc>
      </w:tr>
      <w:tr>
        <w:tc>
          <w:tcPr>
            <w:tcW w:type="dxa" w:w="3312"/>
          </w:tcPr>
          <w:p>
            <w:r>
              <w:t>[TO BE COMPLETED]</w:t>
            </w:r>
          </w:p>
        </w:tc>
        <w:tc>
          <w:tcPr>
            <w:tcW w:type="dxa" w:w="3312"/>
          </w:tcPr>
          <w:p>
            <w:r/>
          </w:p>
        </w:tc>
        <w:tc>
          <w:tcPr>
            <w:tcW w:type="dxa" w:w="3312"/>
          </w:tcPr>
          <w:p>
            <w:r/>
          </w:p>
        </w:tc>
      </w:tr>
    </w:tbl>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Future of Woolton CIO | Foundation Constitution | Registration Draft | 9 September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