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828800" cy="17399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w2Hub logo mast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39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The How2Hub – Current Activity Overview</w:t>
      </w:r>
    </w:p>
    <w:p>
      <w:r>
        <w:t>We are currently working in collaboration with schools through delivery of the Monday Club pilot, supporting small groups of pupils with structured, engagement-led sessions linked to real workplace experiences.</w:t>
      </w:r>
    </w:p>
    <w:p>
      <w:r>
        <w:t>Alongside this, we are working with a university partner where students are contributing to the live build of the platform as part of their course, gaining real-world project experience while helping develop core functionality.</w:t>
      </w:r>
    </w:p>
    <w:p>
      <w:r>
        <w:t>In parallel, further education college students are producing short, three-minute employer films, creating a growing library of accessible, student-led content showcasing local industries and career pathways.</w:t>
      </w:r>
    </w:p>
    <w:p>
      <w:r>
        <w:t>Our approach is aligned with the Careers &amp; Enterprise Company framework and Gatsby Benchmarks, and is being shaped in line with the 2026 UK Education White Paper, particularly around measurable experience, inclusion and earlier exposure to work.</w:t>
      </w:r>
    </w:p>
    <w:p>
      <w:r>
        <w:t>The platform is currently being developed on a pro bono basis through these education partnerships, allowing us to test, refine and evidence the model in real-world settings while maintaining low early-stage cost and strong delivery focus.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